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C0" w:rsidRPr="00EB07C0" w:rsidRDefault="00EB07C0" w:rsidP="00EA17E9">
      <w:pPr>
        <w:jc w:val="center"/>
        <w:rPr>
          <w:sz w:val="22"/>
          <w:szCs w:val="22"/>
        </w:rPr>
      </w:pPr>
    </w:p>
    <w:p w:rsidR="00EA17E9" w:rsidRPr="00963B65" w:rsidRDefault="00EA17E9" w:rsidP="00EA17E9">
      <w:pPr>
        <w:jc w:val="center"/>
        <w:rPr>
          <w:sz w:val="52"/>
          <w:szCs w:val="52"/>
        </w:rPr>
      </w:pPr>
      <w:r w:rsidRPr="00963B65">
        <w:rPr>
          <w:sz w:val="52"/>
          <w:szCs w:val="52"/>
        </w:rPr>
        <w:t>PROGRAM</w:t>
      </w:r>
    </w:p>
    <w:p w:rsidR="00EA17E9" w:rsidRPr="00963B65" w:rsidRDefault="00EA17E9" w:rsidP="00EA17E9">
      <w:pPr>
        <w:jc w:val="center"/>
        <w:rPr>
          <w:sz w:val="52"/>
          <w:szCs w:val="52"/>
        </w:rPr>
      </w:pPr>
      <w:r w:rsidRPr="00963B65">
        <w:rPr>
          <w:sz w:val="52"/>
          <w:szCs w:val="52"/>
        </w:rPr>
        <w:t>FUNKCJONALNO – UŻYTKOWY</w:t>
      </w:r>
    </w:p>
    <w:p w:rsidR="00EA17E9" w:rsidRPr="00963B65" w:rsidRDefault="00EA17E9" w:rsidP="00EA17E9">
      <w:pPr>
        <w:rPr>
          <w:color w:val="D99594" w:themeColor="accent2" w:themeTint="9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874"/>
      </w:tblGrid>
      <w:tr w:rsidR="00EA17E9" w:rsidRPr="00963B65" w:rsidTr="00D06DD9">
        <w:trPr>
          <w:jc w:val="center"/>
        </w:trPr>
        <w:tc>
          <w:tcPr>
            <w:tcW w:w="2338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Nazwa zamówienia</w:t>
            </w:r>
          </w:p>
        </w:tc>
        <w:tc>
          <w:tcPr>
            <w:tcW w:w="6874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Przebudowa budynku usługowo-produkcyjnego  przy ul. Powstańców Śląskich 12 w Korfantowie</w:t>
            </w:r>
          </w:p>
        </w:tc>
      </w:tr>
      <w:tr w:rsidR="00EA17E9" w:rsidRPr="00963B65" w:rsidTr="00D06DD9">
        <w:trPr>
          <w:jc w:val="center"/>
        </w:trPr>
        <w:tc>
          <w:tcPr>
            <w:tcW w:w="2338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Adres</w:t>
            </w:r>
          </w:p>
        </w:tc>
        <w:tc>
          <w:tcPr>
            <w:tcW w:w="6874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Ul. Powstańców Śląskich 12</w:t>
            </w:r>
          </w:p>
          <w:p w:rsidR="00EA17E9" w:rsidRPr="00963B65" w:rsidRDefault="00EA17E9" w:rsidP="00D06DD9">
            <w:pPr>
              <w:pStyle w:val="Bezodstpw"/>
            </w:pPr>
            <w:r w:rsidRPr="00963B65">
              <w:t>48-317 Korfantów</w:t>
            </w:r>
          </w:p>
        </w:tc>
      </w:tr>
      <w:tr w:rsidR="00EA17E9" w:rsidRPr="00963B65" w:rsidTr="00D06DD9">
        <w:trPr>
          <w:jc w:val="center"/>
        </w:trPr>
        <w:tc>
          <w:tcPr>
            <w:tcW w:w="2338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Zamawiający</w:t>
            </w:r>
          </w:p>
        </w:tc>
        <w:tc>
          <w:tcPr>
            <w:tcW w:w="6874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Województwo Opolskie</w:t>
            </w:r>
          </w:p>
          <w:p w:rsidR="00EA17E9" w:rsidRPr="00963B65" w:rsidRDefault="00EA17E9" w:rsidP="00D06DD9">
            <w:pPr>
              <w:pStyle w:val="Bezodstpw"/>
            </w:pPr>
            <w:r w:rsidRPr="00963B65">
              <w:t>ul. Piastowska 14</w:t>
            </w:r>
          </w:p>
          <w:p w:rsidR="00EA17E9" w:rsidRPr="00963B65" w:rsidRDefault="00EA17E9" w:rsidP="00D06DD9">
            <w:pPr>
              <w:pStyle w:val="Bezodstpw"/>
            </w:pPr>
            <w:r w:rsidRPr="00963B65">
              <w:t>45-082 Opole</w:t>
            </w:r>
          </w:p>
        </w:tc>
      </w:tr>
      <w:tr w:rsidR="00EA17E9" w:rsidRPr="001B4E62" w:rsidTr="00D06DD9">
        <w:trPr>
          <w:jc w:val="center"/>
        </w:trPr>
        <w:tc>
          <w:tcPr>
            <w:tcW w:w="2338" w:type="dxa"/>
          </w:tcPr>
          <w:p w:rsidR="00EA17E9" w:rsidRPr="001B4E62" w:rsidRDefault="00EA17E9" w:rsidP="00D06DD9">
            <w:pPr>
              <w:pStyle w:val="Bezodstpw"/>
            </w:pPr>
            <w:r w:rsidRPr="001B4E62">
              <w:t>Nazwy i kody wg Wspólnego Słownika Zamówień CPV</w:t>
            </w:r>
          </w:p>
        </w:tc>
        <w:tc>
          <w:tcPr>
            <w:tcW w:w="6874" w:type="dxa"/>
          </w:tcPr>
          <w:p w:rsidR="00EA17E9" w:rsidRPr="001B4E62" w:rsidRDefault="00EA17E9" w:rsidP="00D06DD9">
            <w:pPr>
              <w:pStyle w:val="Bezodstpw"/>
            </w:pPr>
            <w:r w:rsidRPr="001B4E62">
              <w:t>71320000-7   Usługi inżynierskie w zakresie projektowania</w:t>
            </w:r>
          </w:p>
          <w:p w:rsidR="00EA17E9" w:rsidRPr="001B4E62" w:rsidRDefault="00EA17E9" w:rsidP="00D06DD9">
            <w:pPr>
              <w:pStyle w:val="Bezodstpw"/>
            </w:pPr>
            <w:r w:rsidRPr="001B4E62">
              <w:t>45320000-6   Roboty izolacyjne</w:t>
            </w:r>
          </w:p>
          <w:p w:rsidR="00EA17E9" w:rsidRPr="001B4E62" w:rsidRDefault="00EA17E9" w:rsidP="00D06DD9">
            <w:pPr>
              <w:pStyle w:val="Bezodstpw"/>
            </w:pPr>
            <w:r w:rsidRPr="001B4E62">
              <w:t>45321000-3   Izolacja cieplna</w:t>
            </w:r>
          </w:p>
          <w:p w:rsidR="00EA17E9" w:rsidRPr="001B4E62" w:rsidRDefault="00EA17E9" w:rsidP="00D06DD9">
            <w:pPr>
              <w:pStyle w:val="Bezodstpw"/>
            </w:pPr>
            <w:r w:rsidRPr="001B4E62">
              <w:t>45261910-6   Naprawa dachów</w:t>
            </w:r>
          </w:p>
          <w:p w:rsidR="00EA17E9" w:rsidRPr="001B4E62" w:rsidRDefault="00EA17E9" w:rsidP="00D06DD9">
            <w:pPr>
              <w:pStyle w:val="Bezodstpw"/>
            </w:pPr>
            <w:r w:rsidRPr="001B4E62">
              <w:t>45261214-7   Kładzenie dachów bitumicznych</w:t>
            </w:r>
          </w:p>
          <w:p w:rsidR="00EA17E9" w:rsidRPr="001B4E62" w:rsidRDefault="00EA17E9" w:rsidP="00D06DD9">
            <w:pPr>
              <w:pStyle w:val="Bezodstpw"/>
            </w:pPr>
            <w:r w:rsidRPr="001B4E62">
              <w:t>45420000-7   Roboty w zakresie zakładania stolarki budowlanej oraz roboty ciesielskie</w:t>
            </w:r>
          </w:p>
          <w:p w:rsidR="00EA17E9" w:rsidRPr="001B4E62" w:rsidRDefault="00EA17E9" w:rsidP="00D06DD9">
            <w:pPr>
              <w:pStyle w:val="Bezodstpw"/>
            </w:pPr>
          </w:p>
        </w:tc>
      </w:tr>
      <w:tr w:rsidR="00EA17E9" w:rsidRPr="00963B65" w:rsidTr="00D06DD9">
        <w:trPr>
          <w:jc w:val="center"/>
        </w:trPr>
        <w:tc>
          <w:tcPr>
            <w:tcW w:w="2338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Opracował</w:t>
            </w:r>
          </w:p>
        </w:tc>
        <w:tc>
          <w:tcPr>
            <w:tcW w:w="6874" w:type="dxa"/>
          </w:tcPr>
          <w:p w:rsidR="00EA17E9" w:rsidRPr="00963B65" w:rsidRDefault="00EA17E9" w:rsidP="00D06DD9">
            <w:pPr>
              <w:pStyle w:val="Bezodstpw"/>
            </w:pPr>
            <w:r w:rsidRPr="00963B65">
              <w:t>mgr inż. Marek Jacukowicz</w:t>
            </w:r>
          </w:p>
        </w:tc>
      </w:tr>
    </w:tbl>
    <w:p w:rsidR="00EA17E9" w:rsidRPr="00963B65" w:rsidRDefault="00EA17E9" w:rsidP="00EA17E9">
      <w:pPr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Default="00EA17E9" w:rsidP="00EA17E9">
      <w:pPr>
        <w:jc w:val="center"/>
        <w:rPr>
          <w:color w:val="D99594" w:themeColor="accent2" w:themeTint="99"/>
        </w:rPr>
      </w:pPr>
    </w:p>
    <w:p w:rsidR="00EA17E9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color w:val="D99594" w:themeColor="accent2" w:themeTint="99"/>
        </w:rPr>
      </w:pPr>
    </w:p>
    <w:p w:rsidR="00EA17E9" w:rsidRPr="00963B65" w:rsidRDefault="00EA17E9" w:rsidP="00EA17E9">
      <w:pPr>
        <w:jc w:val="center"/>
        <w:rPr>
          <w:sz w:val="20"/>
          <w:szCs w:val="20"/>
        </w:rPr>
      </w:pPr>
      <w:r w:rsidRPr="00963B65">
        <w:rPr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id w:val="-1348099839"/>
        <w:docPartObj>
          <w:docPartGallery w:val="Table of Contents"/>
          <w:docPartUnique/>
        </w:docPartObj>
      </w:sdtPr>
      <w:sdtEndPr/>
      <w:sdtContent>
        <w:p w:rsidR="00660801" w:rsidRPr="00E5784E" w:rsidRDefault="00660801" w:rsidP="00593CE6">
          <w:pPr>
            <w:pStyle w:val="Nagwekspisutreci"/>
            <w:numPr>
              <w:ilvl w:val="0"/>
              <w:numId w:val="0"/>
            </w:numPr>
          </w:pPr>
          <w:r w:rsidRPr="00E5784E">
            <w:t>Spis treści</w:t>
          </w:r>
          <w:r w:rsidR="00EC4182" w:rsidRPr="00E5784E">
            <w:t>:</w:t>
          </w:r>
        </w:p>
        <w:p w:rsidR="00EA17E9" w:rsidRDefault="007470A6">
          <w:pPr>
            <w:pStyle w:val="Spistreci1"/>
            <w:tabs>
              <w:tab w:val="left" w:pos="48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r w:rsidRPr="00E5784E">
            <w:fldChar w:fldCharType="begin"/>
          </w:r>
          <w:r w:rsidR="00FE4136" w:rsidRPr="00E5784E">
            <w:instrText xml:space="preserve"> TOC \o "1-7" \h \z \u </w:instrText>
          </w:r>
          <w:r w:rsidRPr="00E5784E">
            <w:fldChar w:fldCharType="separate"/>
          </w:r>
          <w:hyperlink w:anchor="_Toc81468163" w:history="1">
            <w:r w:rsidR="00EA17E9" w:rsidRPr="001F339D">
              <w:rPr>
                <w:rStyle w:val="Hipercze"/>
              </w:rPr>
              <w:t>1.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CZĘŚĆ OPISOWA</w:t>
            </w:r>
            <w:r w:rsidR="00EA17E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2"/>
            <w:tabs>
              <w:tab w:val="left" w:pos="96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64" w:history="1">
            <w:r w:rsidR="00EA17E9" w:rsidRPr="001F339D">
              <w:rPr>
                <w:rStyle w:val="Hipercze"/>
              </w:rPr>
              <w:t>1.1.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Opis ogólny przedmiotu zamówienia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_Toc81468164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3</w:t>
            </w:r>
            <w:r w:rsidR="007470A6"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3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65" w:history="1">
            <w:r w:rsidR="00EA17E9" w:rsidRPr="001F339D">
              <w:rPr>
                <w:rStyle w:val="Hipercze"/>
                <w:noProof/>
              </w:rPr>
              <w:t>1.1.1.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Charakterystyczne parametry określające zakres robót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_Toc81468165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3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3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66" w:history="1">
            <w:r w:rsidR="00EA17E9" w:rsidRPr="001F339D">
              <w:rPr>
                <w:rStyle w:val="Hipercze"/>
                <w:noProof/>
              </w:rPr>
              <w:t>1.1.2.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Aktualne uwarunkowania wykonania przedmiotu zamówienia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_Toc81468166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4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3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67" w:history="1">
            <w:r w:rsidR="00EA17E9" w:rsidRPr="001F339D">
              <w:rPr>
                <w:rStyle w:val="Hipercze"/>
                <w:noProof/>
              </w:rPr>
              <w:t>1.1.3.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Ogólne właściwości funkcjonalno – użytkowe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_Toc81468167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4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2"/>
            <w:tabs>
              <w:tab w:val="left" w:pos="96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68" w:history="1">
            <w:r w:rsidR="00EA17E9" w:rsidRPr="001F339D">
              <w:rPr>
                <w:rStyle w:val="Hipercze"/>
              </w:rPr>
              <w:t>1.2.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Wymagania Zamawiającego w stosunku do przedmiotu zamówienia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_Toc81468168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5</w:t>
            </w:r>
            <w:r w:rsidR="007470A6"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3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69" w:history="1">
            <w:r w:rsidR="00EA17E9" w:rsidRPr="001F339D">
              <w:rPr>
                <w:rStyle w:val="Hipercze"/>
                <w:noProof/>
              </w:rPr>
              <w:t>1.2.1.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Warunki szczegółowe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_Toc81468169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5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0" w:history="1">
            <w:r w:rsidR="00EA17E9" w:rsidRPr="001F339D">
              <w:rPr>
                <w:rStyle w:val="Hipercze"/>
                <w:noProof/>
              </w:rPr>
              <w:t>1.2.1.1.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Przygotowanie terenu budowy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_Toc81468170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5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1" w:history="1">
            <w:r w:rsidR="00EA17E9" w:rsidRPr="001F339D">
              <w:rPr>
                <w:rStyle w:val="Hipercze"/>
                <w:noProof/>
              </w:rPr>
              <w:t>1.2.1.2.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Konstrukcja, wykończenie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_Toc81468171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6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2" w:history="1">
            <w:r w:rsidR="00EA17E9" w:rsidRPr="001F339D">
              <w:rPr>
                <w:rStyle w:val="Hipercze"/>
                <w:noProof/>
              </w:rPr>
              <w:t>1.2.1.3.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Instalacje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_Toc81468172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6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3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3" w:history="1">
            <w:r w:rsidR="00EA17E9" w:rsidRPr="001F339D">
              <w:rPr>
                <w:rStyle w:val="Hipercze"/>
                <w:noProof/>
              </w:rPr>
              <w:t>1.2.2.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Warunki wykonania i odbioru robót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_Toc81468173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6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4" w:history="1">
            <w:r w:rsidR="00EA17E9" w:rsidRPr="001F339D">
              <w:rPr>
                <w:rStyle w:val="Hipercze"/>
                <w:noProof/>
              </w:rPr>
              <w:t>1.2.2.1.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Wymagania dotyczące właściwości wyrobów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_Toc81468174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7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5" w:history="1">
            <w:r w:rsidR="00EA17E9" w:rsidRPr="001F339D">
              <w:rPr>
                <w:rStyle w:val="Hipercze"/>
                <w:noProof/>
              </w:rPr>
              <w:t>1.2.2.2.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Wymagania dotyczące sprzętu i maszyn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_Toc81468175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10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6" w:history="1">
            <w:r w:rsidR="00EA17E9" w:rsidRPr="001F339D">
              <w:rPr>
                <w:rStyle w:val="Hipercze"/>
                <w:noProof/>
              </w:rPr>
              <w:t>1.2.2.3.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Wymagania dotyczące środków transportu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_Toc81468176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10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7" w:history="1">
            <w:r w:rsidR="00EA17E9" w:rsidRPr="001F339D">
              <w:rPr>
                <w:rStyle w:val="Hipercze"/>
                <w:noProof/>
              </w:rPr>
              <w:t>1.2.2.4.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Wymagania dotyczące wykonania robót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_Toc81468177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10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8" w:history="1">
            <w:r w:rsidR="00EA17E9" w:rsidRPr="001F339D">
              <w:rPr>
                <w:rStyle w:val="Hipercze"/>
                <w:noProof/>
              </w:rPr>
              <w:t>1.2.2.5.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Działania związane z kontrolą, badaniami oraz odbiorem wyrobów i robót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_Toc81468178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13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79" w:history="1">
            <w:r w:rsidR="00EA17E9" w:rsidRPr="001F339D">
              <w:rPr>
                <w:rStyle w:val="Hipercze"/>
                <w:noProof/>
              </w:rPr>
              <w:t>1.2.2.6.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Wymagania dotyczące przedmiaru i obmiaru robót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_Toc81468179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14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80" w:history="1">
            <w:r w:rsidR="00EA17E9" w:rsidRPr="001F339D">
              <w:rPr>
                <w:rStyle w:val="Hipercze"/>
                <w:noProof/>
              </w:rPr>
              <w:t>1.2.2.7.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Sposób odbioru robót budowlanych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_Toc81468180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15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1468181" w:history="1">
            <w:r w:rsidR="00EA17E9" w:rsidRPr="001F339D">
              <w:rPr>
                <w:rStyle w:val="Hipercze"/>
                <w:noProof/>
              </w:rPr>
              <w:t>1.2.2.8.</w:t>
            </w:r>
            <w:r w:rsidR="00EA17E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  <w:noProof/>
              </w:rPr>
              <w:t>Sposób rozliczenia robót tymczasowych i towarzyszących</w:t>
            </w:r>
            <w:r w:rsidR="00EA17E9">
              <w:rPr>
                <w:noProof/>
                <w:webHidden/>
              </w:rPr>
              <w:tab/>
            </w:r>
            <w:r w:rsidR="007470A6">
              <w:rPr>
                <w:noProof/>
                <w:webHidden/>
              </w:rPr>
              <w:fldChar w:fldCharType="begin"/>
            </w:r>
            <w:r w:rsidR="00EA17E9">
              <w:rPr>
                <w:noProof/>
                <w:webHidden/>
              </w:rPr>
              <w:instrText xml:space="preserve"> PAGEREF _Toc81468181 \h </w:instrText>
            </w:r>
            <w:r w:rsidR="007470A6">
              <w:rPr>
                <w:noProof/>
                <w:webHidden/>
              </w:rPr>
            </w:r>
            <w:r w:rsidR="007470A6">
              <w:rPr>
                <w:noProof/>
                <w:webHidden/>
              </w:rPr>
              <w:fldChar w:fldCharType="separate"/>
            </w:r>
            <w:r w:rsidR="000C19A9">
              <w:rPr>
                <w:noProof/>
                <w:webHidden/>
              </w:rPr>
              <w:t>15</w:t>
            </w:r>
            <w:r w:rsidR="007470A6">
              <w:rPr>
                <w:noProof/>
                <w:webHidden/>
              </w:rPr>
              <w:fldChar w:fldCharType="end"/>
            </w:r>
          </w:hyperlink>
        </w:p>
        <w:p w:rsidR="00EA17E9" w:rsidRDefault="00DF7CA2">
          <w:pPr>
            <w:pStyle w:val="Spistreci1"/>
            <w:tabs>
              <w:tab w:val="left" w:pos="48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82" w:history="1">
            <w:r w:rsidR="00EA17E9" w:rsidRPr="001F339D">
              <w:rPr>
                <w:rStyle w:val="Hipercze"/>
              </w:rPr>
              <w:t>2.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CZĘŚĆ INFORMACYJNA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_Toc81468182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16</w:t>
            </w:r>
            <w:r w:rsidR="007470A6"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2"/>
            <w:tabs>
              <w:tab w:val="left" w:pos="96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83" w:history="1">
            <w:r w:rsidR="00EA17E9" w:rsidRPr="001F339D">
              <w:rPr>
                <w:rStyle w:val="Hipercze"/>
              </w:rPr>
              <w:t>2.1.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Oświadczenie Zamawiającego stwierdzające prawo do dysponowania nieruchomością na cele budowlane.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_Toc81468183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16</w:t>
            </w:r>
            <w:r w:rsidR="007470A6"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2"/>
            <w:tabs>
              <w:tab w:val="left" w:pos="96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84" w:history="1">
            <w:r w:rsidR="00EA17E9" w:rsidRPr="001F339D">
              <w:rPr>
                <w:rStyle w:val="Hipercze"/>
              </w:rPr>
              <w:t>2.2.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Przepisy prawne związane z projektowaniem i wykonaniem zamierzenia budowlanego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_Toc81468184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16</w:t>
            </w:r>
            <w:r w:rsidR="007470A6">
              <w:rPr>
                <w:webHidden/>
              </w:rPr>
              <w:fldChar w:fldCharType="end"/>
            </w:r>
          </w:hyperlink>
        </w:p>
        <w:p w:rsidR="00EA17E9" w:rsidRDefault="00DF7CA2">
          <w:pPr>
            <w:pStyle w:val="Spistreci2"/>
            <w:tabs>
              <w:tab w:val="left" w:pos="960"/>
            </w:tabs>
            <w:rPr>
              <w:rFonts w:eastAsiaTheme="minorEastAsia"/>
              <w:b w:val="0"/>
              <w:sz w:val="22"/>
              <w:szCs w:val="22"/>
              <w:lang w:eastAsia="pl-PL"/>
            </w:rPr>
          </w:pPr>
          <w:hyperlink w:anchor="_Toc81468185" w:history="1">
            <w:r w:rsidR="00EA17E9" w:rsidRPr="001F339D">
              <w:rPr>
                <w:rStyle w:val="Hipercze"/>
              </w:rPr>
              <w:t>2.3.</w:t>
            </w:r>
            <w:r w:rsidR="00EA17E9">
              <w:rPr>
                <w:rFonts w:eastAsiaTheme="minorEastAsia"/>
                <w:b w:val="0"/>
                <w:sz w:val="22"/>
                <w:szCs w:val="22"/>
                <w:lang w:eastAsia="pl-PL"/>
              </w:rPr>
              <w:tab/>
            </w:r>
            <w:r w:rsidR="00EA17E9" w:rsidRPr="001F339D">
              <w:rPr>
                <w:rStyle w:val="Hipercze"/>
              </w:rPr>
              <w:t>Inne posiadane informacje i dokumenty niezbędne do zaprojektowania robót budowlanych</w:t>
            </w:r>
            <w:r w:rsidR="00EA17E9">
              <w:rPr>
                <w:webHidden/>
              </w:rPr>
              <w:tab/>
            </w:r>
            <w:r w:rsidR="007470A6">
              <w:rPr>
                <w:webHidden/>
              </w:rPr>
              <w:fldChar w:fldCharType="begin"/>
            </w:r>
            <w:r w:rsidR="00EA17E9">
              <w:rPr>
                <w:webHidden/>
              </w:rPr>
              <w:instrText xml:space="preserve"> PAGEREF _Toc81468185 \h </w:instrText>
            </w:r>
            <w:r w:rsidR="007470A6">
              <w:rPr>
                <w:webHidden/>
              </w:rPr>
            </w:r>
            <w:r w:rsidR="007470A6">
              <w:rPr>
                <w:webHidden/>
              </w:rPr>
              <w:fldChar w:fldCharType="separate"/>
            </w:r>
            <w:r w:rsidR="000C19A9">
              <w:rPr>
                <w:webHidden/>
              </w:rPr>
              <w:t>17</w:t>
            </w:r>
            <w:r w:rsidR="007470A6">
              <w:rPr>
                <w:webHidden/>
              </w:rPr>
              <w:fldChar w:fldCharType="end"/>
            </w:r>
          </w:hyperlink>
        </w:p>
        <w:p w:rsidR="00C3767F" w:rsidRPr="00E5784E" w:rsidRDefault="007470A6" w:rsidP="005B0060">
          <w:r w:rsidRPr="00E5784E">
            <w:rPr>
              <w:noProof/>
            </w:rPr>
            <w:fldChar w:fldCharType="end"/>
          </w:r>
        </w:p>
      </w:sdtContent>
    </w:sdt>
    <w:p w:rsidR="000F6CE4" w:rsidRPr="00E5784E" w:rsidRDefault="000F6CE4">
      <w:pPr>
        <w:jc w:val="left"/>
        <w:rPr>
          <w:rFonts w:ascii="Calibri" w:eastAsiaTheme="majorEastAsia" w:hAnsi="Calibri" w:cstheme="majorBidi"/>
          <w:b/>
          <w:bCs/>
          <w:sz w:val="32"/>
          <w:szCs w:val="28"/>
        </w:rPr>
      </w:pPr>
      <w:r w:rsidRPr="00E5784E">
        <w:br w:type="page"/>
      </w:r>
    </w:p>
    <w:p w:rsidR="00AD57A6" w:rsidRPr="00E5784E" w:rsidRDefault="00AD57A6" w:rsidP="00826175">
      <w:pPr>
        <w:pStyle w:val="Nagwek1"/>
      </w:pPr>
      <w:bookmarkStart w:id="0" w:name="_Toc81468163"/>
      <w:r w:rsidRPr="00E5784E">
        <w:lastRenderedPageBreak/>
        <w:t>CZĘŚĆ OPISOWA</w:t>
      </w:r>
      <w:bookmarkEnd w:id="0"/>
    </w:p>
    <w:p w:rsidR="00EA17E9" w:rsidRPr="008B221C" w:rsidRDefault="00EA17E9" w:rsidP="00EA17E9">
      <w:pPr>
        <w:pStyle w:val="Nagwek2"/>
        <w:ind w:left="709"/>
      </w:pPr>
      <w:bookmarkStart w:id="1" w:name="_Toc81403434"/>
      <w:bookmarkStart w:id="2" w:name="_Toc81468164"/>
      <w:r w:rsidRPr="008B221C">
        <w:t xml:space="preserve">Opis </w:t>
      </w:r>
      <w:r w:rsidRPr="00BB6C7D">
        <w:t>ogólny</w:t>
      </w:r>
      <w:r w:rsidRPr="008B221C">
        <w:t xml:space="preserve"> przedmiotu zamówienia</w:t>
      </w:r>
      <w:bookmarkEnd w:id="1"/>
      <w:bookmarkEnd w:id="2"/>
    </w:p>
    <w:p w:rsidR="00EA17E9" w:rsidRPr="00E5784E" w:rsidRDefault="00EA17E9" w:rsidP="00EA17E9">
      <w:r w:rsidRPr="00E5784E">
        <w:t xml:space="preserve">Przedmiotem zamówienia jest wykonanie dokumentacji projektowej, uzyskanie niezbędnych decyzji, opinii i pozwoleń oraz wykonanie prac budowlanych związanych z </w:t>
      </w:r>
      <w:r>
        <w:t>przebudową</w:t>
      </w:r>
      <w:r w:rsidRPr="00E5784E">
        <w:t xml:space="preserve"> budynku </w:t>
      </w:r>
      <w:r>
        <w:t>usługowo-produkcyjnego przy ul. Powstańców Śląskich 12 w Korfantowie</w:t>
      </w:r>
      <w:r w:rsidRPr="00E5784E">
        <w:t xml:space="preserve"> w formule „Zaprojektuj i Wybuduj”.</w:t>
      </w:r>
    </w:p>
    <w:p w:rsidR="00EA17E9" w:rsidRPr="00E5784E" w:rsidRDefault="00EA17E9" w:rsidP="00EA17E9">
      <w:r w:rsidRPr="00E5784E">
        <w:t xml:space="preserve">Zamawiający wymaga wykonania dokumentacji projektowej i robót budowlanych zgodnie z wytycznymi zawartymi w niniejszym opracowaniu. </w:t>
      </w:r>
    </w:p>
    <w:p w:rsidR="00EA17E9" w:rsidRPr="00E5784E" w:rsidRDefault="00EA17E9" w:rsidP="00EA17E9">
      <w:r w:rsidRPr="00E5784E">
        <w:t>Wykonawca ponosi pełną odpowiedzialność za osiągnięcie zakładanych celów przedsięwzięcia i osiągnięcie parametrów gwarantowanych zgodnie z wymaganiami PFU oraz przepisami Prawa budowlanego.</w:t>
      </w:r>
    </w:p>
    <w:p w:rsidR="00EA17E9" w:rsidRPr="00963B65" w:rsidRDefault="00EA17E9" w:rsidP="00EA17E9">
      <w:pPr>
        <w:rPr>
          <w:color w:val="D99594" w:themeColor="accent2" w:themeTint="99"/>
          <w:u w:val="single"/>
        </w:rPr>
      </w:pPr>
    </w:p>
    <w:p w:rsidR="00EA17E9" w:rsidRPr="00B72409" w:rsidRDefault="00EA17E9" w:rsidP="00EA17E9">
      <w:pPr>
        <w:pStyle w:val="Nagwek3"/>
        <w:ind w:left="1224" w:hanging="373"/>
      </w:pPr>
      <w:bookmarkStart w:id="3" w:name="_Toc81403435"/>
      <w:bookmarkStart w:id="4" w:name="_Toc81468165"/>
      <w:r w:rsidRPr="00BB6C7D">
        <w:t>Charakterystyczne</w:t>
      </w:r>
      <w:r w:rsidRPr="00B72409">
        <w:t xml:space="preserve"> parametry określające zakres robót budowlanych</w:t>
      </w:r>
      <w:bookmarkEnd w:id="3"/>
      <w:bookmarkEnd w:id="4"/>
    </w:p>
    <w:p w:rsidR="00EA17E9" w:rsidRPr="00B72409" w:rsidRDefault="00EA17E9" w:rsidP="00EA17E9">
      <w:r w:rsidRPr="00B72409">
        <w:t>Obiekt budowlany podlegający przebudowie posiada następujące parametry charakterystyczne: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1276"/>
      </w:tblGrid>
      <w:tr w:rsidR="00EA17E9" w:rsidRPr="008A403A" w:rsidTr="00D06DD9">
        <w:trPr>
          <w:trHeight w:val="170"/>
          <w:jc w:val="center"/>
        </w:trPr>
        <w:tc>
          <w:tcPr>
            <w:tcW w:w="4235" w:type="dxa"/>
            <w:vAlign w:val="center"/>
          </w:tcPr>
          <w:p w:rsidR="00EA17E9" w:rsidRPr="008A403A" w:rsidRDefault="00EA17E9" w:rsidP="00D06DD9">
            <w:r w:rsidRPr="008A403A">
              <w:t>Powierzchnia zabudowy [m2]</w:t>
            </w:r>
          </w:p>
        </w:tc>
        <w:tc>
          <w:tcPr>
            <w:tcW w:w="1276" w:type="dxa"/>
            <w:vAlign w:val="center"/>
          </w:tcPr>
          <w:p w:rsidR="00EA17E9" w:rsidRPr="008A403A" w:rsidRDefault="00EA17E9" w:rsidP="00D06DD9">
            <w:pPr>
              <w:jc w:val="center"/>
            </w:pPr>
            <w:r w:rsidRPr="008A403A">
              <w:t>398</w:t>
            </w:r>
          </w:p>
        </w:tc>
      </w:tr>
      <w:tr w:rsidR="00EA17E9" w:rsidRPr="008A403A" w:rsidTr="00D06DD9">
        <w:trPr>
          <w:trHeight w:val="340"/>
          <w:jc w:val="center"/>
        </w:trPr>
        <w:tc>
          <w:tcPr>
            <w:tcW w:w="4235" w:type="dxa"/>
            <w:vAlign w:val="center"/>
          </w:tcPr>
          <w:p w:rsidR="00EA17E9" w:rsidRPr="008A403A" w:rsidRDefault="00EA17E9" w:rsidP="00D06DD9">
            <w:r w:rsidRPr="008A403A">
              <w:t>Wysokość budynku [m]</w:t>
            </w:r>
          </w:p>
        </w:tc>
        <w:tc>
          <w:tcPr>
            <w:tcW w:w="1276" w:type="dxa"/>
            <w:vAlign w:val="center"/>
          </w:tcPr>
          <w:p w:rsidR="00EA17E9" w:rsidRPr="008A403A" w:rsidRDefault="00EA17E9" w:rsidP="00D06DD9">
            <w:pPr>
              <w:jc w:val="center"/>
            </w:pPr>
            <w:r w:rsidRPr="008A403A">
              <w:t>7,25</w:t>
            </w:r>
          </w:p>
        </w:tc>
      </w:tr>
      <w:tr w:rsidR="00EA17E9" w:rsidRPr="008A403A" w:rsidTr="00D06DD9">
        <w:trPr>
          <w:trHeight w:val="340"/>
          <w:jc w:val="center"/>
        </w:trPr>
        <w:tc>
          <w:tcPr>
            <w:tcW w:w="4235" w:type="dxa"/>
            <w:vAlign w:val="center"/>
          </w:tcPr>
          <w:p w:rsidR="00EA17E9" w:rsidRPr="008A403A" w:rsidRDefault="00EA17E9" w:rsidP="00D06DD9">
            <w:r w:rsidRPr="008A403A">
              <w:t>Kubatura [m3]</w:t>
            </w:r>
          </w:p>
        </w:tc>
        <w:tc>
          <w:tcPr>
            <w:tcW w:w="1276" w:type="dxa"/>
            <w:vAlign w:val="center"/>
          </w:tcPr>
          <w:p w:rsidR="00EA17E9" w:rsidRPr="008A403A" w:rsidRDefault="00EA17E9" w:rsidP="00D06DD9">
            <w:pPr>
              <w:jc w:val="center"/>
            </w:pPr>
            <w:r w:rsidRPr="008A403A">
              <w:t>2750</w:t>
            </w:r>
          </w:p>
        </w:tc>
      </w:tr>
    </w:tbl>
    <w:p w:rsidR="00EA17E9" w:rsidRPr="00963B65" w:rsidRDefault="00EA17E9" w:rsidP="00EA17E9">
      <w:pPr>
        <w:rPr>
          <w:color w:val="D99594" w:themeColor="accent2" w:themeTint="99"/>
        </w:rPr>
      </w:pPr>
      <w:r w:rsidRPr="00963B65">
        <w:rPr>
          <w:color w:val="D99594" w:themeColor="accent2" w:themeTint="99"/>
        </w:rPr>
        <w:t xml:space="preserve"> </w:t>
      </w:r>
    </w:p>
    <w:p w:rsidR="00EA17E9" w:rsidRPr="00D332DE" w:rsidRDefault="00EA17E9" w:rsidP="00EA17E9">
      <w:r w:rsidRPr="00D332DE">
        <w:t>Przedsięwzięcie charakteryzuje następujący zakres robót (wartości przybliżone):</w:t>
      </w:r>
    </w:p>
    <w:p w:rsidR="00EA17E9" w:rsidRPr="00D332DE" w:rsidRDefault="00EA17E9" w:rsidP="00EA17E9">
      <w:r w:rsidRPr="00D332DE">
        <w:t>Wskazano w Załączniku nr 2 – „Przedmiar robót – szacowane ilości robót do wykonania”.</w:t>
      </w:r>
    </w:p>
    <w:p w:rsidR="00EA17E9" w:rsidRDefault="00EA17E9" w:rsidP="00EA17E9">
      <w:pPr>
        <w:rPr>
          <w:color w:val="D99594" w:themeColor="accent2" w:themeTint="99"/>
        </w:rPr>
      </w:pPr>
    </w:p>
    <w:p w:rsidR="00EA17E9" w:rsidRPr="00B72409" w:rsidRDefault="00EA17E9" w:rsidP="00EA17E9">
      <w:r w:rsidRPr="00B72409">
        <w:t>Wykonawca zobowiązany jest wycenić prace na podstawie własnych pomiarów i wizji w terenie.</w:t>
      </w:r>
    </w:p>
    <w:p w:rsidR="00EA17E9" w:rsidRPr="00D65D08" w:rsidRDefault="00EA17E9" w:rsidP="00EA17E9">
      <w:r w:rsidRPr="00D65D08">
        <w:t xml:space="preserve">W wyniku przeprowadzenia zamierzenia budowlanego nie ulegną zmianie: </w:t>
      </w:r>
    </w:p>
    <w:p w:rsidR="00EA17E9" w:rsidRPr="00D65D08" w:rsidRDefault="00EA17E9" w:rsidP="00EA17E9">
      <w:pPr>
        <w:pStyle w:val="Akapitzlist"/>
        <w:numPr>
          <w:ilvl w:val="0"/>
          <w:numId w:val="15"/>
        </w:numPr>
      </w:pPr>
      <w:r w:rsidRPr="00D65D08">
        <w:t>sposób użytkowania obiektu</w:t>
      </w:r>
    </w:p>
    <w:p w:rsidR="00EA17E9" w:rsidRPr="00D65D08" w:rsidRDefault="00EA17E9" w:rsidP="00EA17E9">
      <w:pPr>
        <w:pStyle w:val="Akapitzlist"/>
        <w:numPr>
          <w:ilvl w:val="0"/>
          <w:numId w:val="15"/>
        </w:numPr>
      </w:pPr>
      <w:r w:rsidRPr="00D65D08">
        <w:t>powierzchnia zabudowy</w:t>
      </w:r>
    </w:p>
    <w:p w:rsidR="00EA17E9" w:rsidRPr="00D65D08" w:rsidRDefault="00EA17E9" w:rsidP="00EA17E9">
      <w:pPr>
        <w:pStyle w:val="Akapitzlist"/>
        <w:numPr>
          <w:ilvl w:val="0"/>
          <w:numId w:val="15"/>
        </w:numPr>
      </w:pPr>
      <w:r w:rsidRPr="00D65D08">
        <w:t xml:space="preserve">sposób zagospodarowania terenu działki </w:t>
      </w:r>
    </w:p>
    <w:p w:rsidR="00EA17E9" w:rsidRPr="00D65D08" w:rsidRDefault="00EA17E9" w:rsidP="00EA17E9"/>
    <w:p w:rsidR="00EA17E9" w:rsidRPr="00BB1EF5" w:rsidRDefault="00EA17E9" w:rsidP="00EA17E9">
      <w:pPr>
        <w:pStyle w:val="Nagwek3"/>
        <w:ind w:left="1224" w:hanging="373"/>
      </w:pPr>
      <w:bookmarkStart w:id="5" w:name="_Toc81403436"/>
      <w:bookmarkStart w:id="6" w:name="_Toc81468166"/>
      <w:r w:rsidRPr="00BB1EF5">
        <w:lastRenderedPageBreak/>
        <w:t>Aktualne uwarunkowania wykonania przedmiotu zamówienia</w:t>
      </w:r>
      <w:bookmarkEnd w:id="5"/>
      <w:bookmarkEnd w:id="6"/>
    </w:p>
    <w:p w:rsidR="00EA17E9" w:rsidRPr="00BB1EF5" w:rsidRDefault="00EA17E9" w:rsidP="00EA17E9">
      <w:r w:rsidRPr="00BB1EF5">
        <w:t>Obiektem, którego dotyczy opracowanie jest budynek usługowo – produkcyjny – budynek hali warsztatowej z zapleczem socjalno-biurowym. Na terenie działki znajdują się budynki nieobjęte zakresem opracowania.</w:t>
      </w:r>
    </w:p>
    <w:p w:rsidR="00EA17E9" w:rsidRPr="00BB1EF5" w:rsidRDefault="00EA17E9" w:rsidP="00EA17E9">
      <w:r w:rsidRPr="00BB1EF5">
        <w:t>Obiekt, którego dotyczy opracowanie jest budynkiem dwukondygnacyjnym w części socjalno-biurowej oraz jednokondygnacyjnym w części hali warsztatowej, częściowo podpiwniczonym. Wykonany w technologii szkieletowej. Po</w:t>
      </w:r>
      <w:r>
        <w:t xml:space="preserve">sadowiony na ławach żelbetowych </w:t>
      </w:r>
      <w:r w:rsidRPr="00BB1EF5">
        <w:t>oraz stopach żelbetowych, ściany fundamentowe murowane z bloczków żwirobetonowych M-6. Słupy prefabrykowane, podciągi prefabrykowane strunobetonowe. Ściany zewnętrzne murowane z cegły pełnej na zaprawie cementowo-wapiennej. Strop prefabrykowany, stropodach prefabrykowany z płyt panwiowych typu EK-6000, z warstwą wyrównawczą i pokryciem 3 x papą na lepiku. Stolarka okienna prefabrykowana na hali głównej oraz drewniana stolarka zespolona, stolarka drzwiowa drewniana typowa oraz bramy metalowe i drewniane. Tynki wewnętrzne cementowo-wapienne kat. III. Kominy murowane z cegły pełnej, w kuźni końcówka metalowa. Część kominów nieużytkowana. Wentylacja grawitacyjna i wymuszona. Rynny i rury spustowe oraz obróbki blacharskie z blachy ocynkowanej.</w:t>
      </w:r>
    </w:p>
    <w:p w:rsidR="00EA17E9" w:rsidRPr="00BB1EF5" w:rsidRDefault="00EA17E9" w:rsidP="00EA17E9">
      <w:r w:rsidRPr="00BB1EF5">
        <w:t>Budynek nie jest ocieplony. Występują lokalne nieszczelności pokrycia dachowego.</w:t>
      </w:r>
    </w:p>
    <w:p w:rsidR="00690C8D" w:rsidRDefault="00EA17E9" w:rsidP="00EA17E9">
      <w:r w:rsidRPr="00E6694E">
        <w:t>Obiekt nie jest objęty ochroną konserwatora zabytków.</w:t>
      </w:r>
    </w:p>
    <w:p w:rsidR="00690C8D" w:rsidRPr="001312A1" w:rsidRDefault="00662476" w:rsidP="00EA17E9">
      <w:r w:rsidRPr="001312A1">
        <w:t xml:space="preserve">Pożądane przez Zamawiającego jest by </w:t>
      </w:r>
      <w:r w:rsidR="00EA17E9" w:rsidRPr="001312A1">
        <w:t xml:space="preserve">Wykonawca </w:t>
      </w:r>
      <w:r w:rsidRPr="001312A1">
        <w:t>przeprowadził</w:t>
      </w:r>
      <w:r w:rsidR="00EA17E9" w:rsidRPr="001312A1">
        <w:t xml:space="preserve"> we własnym zakresie </w:t>
      </w:r>
      <w:r w:rsidRPr="001312A1">
        <w:t>wizję lokalną</w:t>
      </w:r>
      <w:r w:rsidR="00EA17E9" w:rsidRPr="001312A1">
        <w:t xml:space="preserve">, </w:t>
      </w:r>
      <w:r w:rsidRPr="001312A1">
        <w:t>Przedmiotowy zapis nie stanowi dyspozycji zawartej w art. 131 ust. 2 pkt 1 Pzp. Oferta złożona bez przeprowadzenia wizji lokalnej nie będzie podlegać odrzuceniu na podstawie art. 226 ust. 1 pkt 18 Pzp.</w:t>
      </w:r>
    </w:p>
    <w:p w:rsidR="00EA17E9" w:rsidRDefault="00EA17E9" w:rsidP="00EA17E9">
      <w:pPr>
        <w:rPr>
          <w:color w:val="D99594" w:themeColor="accent2" w:themeTint="99"/>
        </w:rPr>
      </w:pPr>
    </w:p>
    <w:p w:rsidR="00690C8D" w:rsidRPr="00963B65" w:rsidRDefault="00690C8D" w:rsidP="00EA17E9">
      <w:pPr>
        <w:rPr>
          <w:color w:val="D99594" w:themeColor="accent2" w:themeTint="99"/>
        </w:rPr>
      </w:pPr>
    </w:p>
    <w:p w:rsidR="00EA17E9" w:rsidRPr="00B72409" w:rsidRDefault="00EA17E9" w:rsidP="00EA17E9">
      <w:pPr>
        <w:pStyle w:val="Nagwek3"/>
        <w:ind w:left="1224" w:hanging="373"/>
      </w:pPr>
      <w:bookmarkStart w:id="7" w:name="_Toc81403437"/>
      <w:bookmarkStart w:id="8" w:name="_Toc81468167"/>
      <w:r w:rsidRPr="00B72409">
        <w:t>Ogólne właściwości funkcjonalno – użytkowe</w:t>
      </w:r>
      <w:bookmarkEnd w:id="7"/>
      <w:bookmarkEnd w:id="8"/>
    </w:p>
    <w:p w:rsidR="00EA17E9" w:rsidRPr="00B72409" w:rsidRDefault="00EA17E9" w:rsidP="00EA17E9">
      <w:r w:rsidRPr="00B72409">
        <w:t>Głównym celem inwestycji jest przebudowa budynku, w wyniku której zostaną usunięte lokalne nieszczelności pokrycia dachowego oraz polepszone warunki izolacyjności cieplnej.</w:t>
      </w:r>
    </w:p>
    <w:p w:rsidR="00EA17E9" w:rsidRPr="00B72409" w:rsidRDefault="00EA17E9" w:rsidP="00EA17E9">
      <w:r w:rsidRPr="00D65D08">
        <w:t xml:space="preserve">Zakres planowanych prac przedstawiono w części graficznej opracowania. Roboty należy wykonywać zgodnie z koncepcją i wytycznymi zawartymi w niniejszym opracowaniu. Wykonawca może zaproponować inne rozwiązanie, pod </w:t>
      </w:r>
      <w:r w:rsidRPr="00B72409">
        <w:t xml:space="preserve">warunkiem, zachowania parametrów nie gorszych niż przedstawione w niniejszym PFU. Każda zmiana podlega uzgodnieniu z Zamawiającym. </w:t>
      </w:r>
    </w:p>
    <w:p w:rsidR="00EA17E9" w:rsidRPr="00B72409" w:rsidRDefault="00EA17E9" w:rsidP="00EA17E9">
      <w:r w:rsidRPr="00B72409">
        <w:lastRenderedPageBreak/>
        <w:t>Rysunki stanowią wyłącznie poglądowe przedstawienie stanu istniejącego. Wszelkie wartości niezbędne do opracowania dokumentacji projektowej lub innych działań związanych z realizacją zamówienia należy potwierdzić poprzez wykonanie inwentaryzacji budynku oraz uzyskanie mapy do celów projektowych, jeśli będzie to konieczne.</w:t>
      </w:r>
    </w:p>
    <w:p w:rsidR="00EA17E9" w:rsidRPr="00B72409" w:rsidRDefault="00EA17E9" w:rsidP="00EA17E9">
      <w:r w:rsidRPr="00B72409">
        <w:t>Wykonawca w ramach realizacji projektu powinien zweryfikować rozwiązania techniczne zaproponowane przez Zamawiającego, dokonać doboru szczegółowych rozwiązań technicznych wraz z przedłożeniem rozwiązań do akceptacji przez Zamawiającego. Po akceptacji technicznej rozwiązań Wykonawca winien dokonać przedłożenia rozwiązań materiałowych (do akceptacji wymagane jest przedłożenie karty materiałowej), a następnie realizacja na podstawie zatwierdzonych dokumentów. Dopuszcza się zastosowanie materiałów i urządzeń, nie gorszych niż te, które precyzują zapisy niniejszego PFU.</w:t>
      </w:r>
    </w:p>
    <w:p w:rsidR="00EA17E9" w:rsidRPr="00B72409" w:rsidRDefault="009A1C99" w:rsidP="00EA17E9">
      <w:r w:rsidRPr="001048FB">
        <w:t>Dokumentacja projektowa oznacza całość dokumentacji (wraz z uzyskaniem wszelkich niezbędnych decyzji, pozwoleń i uzgodnień) niezbędnej do realizacji przedmiotu zamówienia, tzn. do zapewnienia ogólnych właściwości funkcjonalno-użytkowych. W skład dokumentacji projektowej wchodzą wszystkie opracowania projektowe niezbędne do realizacji przedmiotu zamówienia zgodnie z wymaganiami Zamawiającego ujętymi w PFU.</w:t>
      </w:r>
    </w:p>
    <w:p w:rsidR="00EA17E9" w:rsidRPr="00B72409" w:rsidRDefault="00EA17E9" w:rsidP="00EA17E9">
      <w:r w:rsidRPr="00B72409">
        <w:t xml:space="preserve">Wykonawca ponosi odpowiedzialność za dokonanie stosownej procedury administracyjnej dla zakresu realizowanych prac, jeżeli będzie ona wymagana przepisami prawa. </w:t>
      </w:r>
    </w:p>
    <w:p w:rsidR="00EA17E9" w:rsidRPr="00B72409" w:rsidRDefault="00EA17E9" w:rsidP="00EA17E9">
      <w:r w:rsidRPr="00B72409">
        <w:t>W zakres zobowiązań Wykonawcy w ramach realizacji przedmiotu zamówienia wchodzi również opracowanie i wykonanie wszelkich innych niezbędnych opracowań i dokumentacji koniecznych do zakończenia prac budowlanych.</w:t>
      </w:r>
    </w:p>
    <w:p w:rsidR="00EA17E9" w:rsidRPr="00963B65" w:rsidRDefault="00EA17E9" w:rsidP="00EA17E9">
      <w:pPr>
        <w:rPr>
          <w:color w:val="D99594" w:themeColor="accent2" w:themeTint="99"/>
        </w:rPr>
      </w:pPr>
    </w:p>
    <w:p w:rsidR="00EA17E9" w:rsidRPr="00B72409" w:rsidRDefault="00EA17E9" w:rsidP="00EA17E9">
      <w:pPr>
        <w:pStyle w:val="Nagwek2"/>
        <w:ind w:left="709"/>
      </w:pPr>
      <w:bookmarkStart w:id="9" w:name="_Toc81403438"/>
      <w:bookmarkStart w:id="10" w:name="_Toc81468168"/>
      <w:r w:rsidRPr="00B72409">
        <w:t>Wymagania Zamawiającego w stosunku do przedmiotu zamówienia</w:t>
      </w:r>
      <w:bookmarkEnd w:id="9"/>
      <w:bookmarkEnd w:id="10"/>
    </w:p>
    <w:p w:rsidR="00EA17E9" w:rsidRPr="00B72409" w:rsidRDefault="00EA17E9" w:rsidP="00EA17E9">
      <w:pPr>
        <w:ind w:left="360"/>
      </w:pPr>
      <w:r w:rsidRPr="00B72409">
        <w:t>Wykonawca jest odpowiedzialny za jakość wykonania dokumentacji projektowej i robót budowlanych oraz za zgodność z postanowieniami umowy, programem funkcjonalno-użytkowym, zatwierdzoną dokumentacją projektową i decyzjami administracyjnymi oraz obowiązującymi przepisami.</w:t>
      </w:r>
    </w:p>
    <w:p w:rsidR="00EA17E9" w:rsidRDefault="00EA17E9" w:rsidP="00EA17E9">
      <w:pPr>
        <w:rPr>
          <w:color w:val="D99594" w:themeColor="accent2" w:themeTint="99"/>
        </w:rPr>
      </w:pPr>
    </w:p>
    <w:p w:rsidR="00EA17E9" w:rsidRPr="00AE1FA1" w:rsidRDefault="00EA17E9" w:rsidP="00EA17E9">
      <w:pPr>
        <w:pStyle w:val="Nagwek3"/>
        <w:ind w:left="1224" w:hanging="373"/>
      </w:pPr>
      <w:bookmarkStart w:id="11" w:name="_Toc81403439"/>
      <w:bookmarkStart w:id="12" w:name="_Toc81468169"/>
      <w:r w:rsidRPr="00AE1FA1">
        <w:t>Warunki szczegółowe</w:t>
      </w:r>
      <w:bookmarkEnd w:id="11"/>
      <w:bookmarkEnd w:id="12"/>
    </w:p>
    <w:p w:rsidR="00EA17E9" w:rsidRDefault="00EA17E9" w:rsidP="00EA17E9">
      <w:pPr>
        <w:pStyle w:val="Nagwek4"/>
      </w:pPr>
      <w:bookmarkStart w:id="13" w:name="_Toc81403440"/>
      <w:bookmarkStart w:id="14" w:name="_Toc81468170"/>
      <w:r w:rsidRPr="00963B65">
        <w:t xml:space="preserve">Przygotowanie </w:t>
      </w:r>
      <w:r w:rsidRPr="00520148">
        <w:t>terenu</w:t>
      </w:r>
      <w:r w:rsidRPr="00963B65">
        <w:t xml:space="preserve"> budowy</w:t>
      </w:r>
      <w:bookmarkEnd w:id="13"/>
      <w:bookmarkEnd w:id="14"/>
    </w:p>
    <w:p w:rsidR="00EA17E9" w:rsidRPr="00E5784E" w:rsidRDefault="00EA17E9" w:rsidP="00EA17E9">
      <w:r w:rsidRPr="00E5784E">
        <w:t xml:space="preserve">Przed przystąpieniem do robót Wykonawca zabezpieczy wszelkie elementy </w:t>
      </w:r>
      <w:r>
        <w:t>wyposażenia pomieszczeń oraz elementy budynku mogące ulec zniszczeniu.</w:t>
      </w:r>
      <w:r w:rsidRPr="00E5784E">
        <w:t xml:space="preserve"> </w:t>
      </w:r>
      <w:r w:rsidRPr="006E1CB4">
        <w:t>Wykonawca zobowiązany jest do przywrócenia pomieszczeń do stanu pierwotnego w zakresie umeblowania i wykończenia podłóg i ścian po zakończeniu robót.</w:t>
      </w:r>
      <w:r>
        <w:t xml:space="preserve"> </w:t>
      </w:r>
      <w:r w:rsidRPr="00E5784E">
        <w:t xml:space="preserve">Należy zabezpieczyć teren </w:t>
      </w:r>
      <w:r>
        <w:t xml:space="preserve">wykonywania prac </w:t>
      </w:r>
      <w:r w:rsidRPr="00E5784E">
        <w:t xml:space="preserve">i </w:t>
      </w:r>
      <w:r w:rsidRPr="00E5784E">
        <w:lastRenderedPageBreak/>
        <w:t>tymczasowego składowania odpadów powstałych w wyniku rozbiórki przed dostępem osób nieupoważnionych.</w:t>
      </w:r>
    </w:p>
    <w:p w:rsidR="00EA17E9" w:rsidRPr="00E5784E" w:rsidRDefault="00EA17E9" w:rsidP="00EA17E9">
      <w:r w:rsidRPr="00E5784E">
        <w:t>Prace</w:t>
      </w:r>
      <w:r>
        <w:t xml:space="preserve"> </w:t>
      </w:r>
      <w:r w:rsidRPr="00E5784E">
        <w:t>rozbiórkowe</w:t>
      </w:r>
      <w:r>
        <w:t xml:space="preserve"> </w:t>
      </w:r>
      <w:r w:rsidRPr="00E5784E">
        <w:t>wykonywać</w:t>
      </w:r>
      <w:r>
        <w:t xml:space="preserve"> </w:t>
      </w:r>
      <w:r w:rsidRPr="00E5784E">
        <w:t>ręcznie</w:t>
      </w:r>
      <w:r>
        <w:t xml:space="preserve"> </w:t>
      </w:r>
      <w:r w:rsidRPr="00E5784E">
        <w:t>lub</w:t>
      </w:r>
      <w:r>
        <w:t xml:space="preserve"> </w:t>
      </w:r>
      <w:r w:rsidRPr="00E5784E">
        <w:t>przy</w:t>
      </w:r>
      <w:r>
        <w:t xml:space="preserve"> </w:t>
      </w:r>
      <w:r w:rsidRPr="00E5784E">
        <w:t>użyciu</w:t>
      </w:r>
      <w:r>
        <w:t xml:space="preserve"> </w:t>
      </w:r>
      <w:r w:rsidRPr="00E5784E">
        <w:t>sprzętu</w:t>
      </w:r>
      <w:r>
        <w:t xml:space="preserve"> </w:t>
      </w:r>
      <w:r w:rsidRPr="00E5784E">
        <w:t>mechanicznego, z zachowaniem szczególnej ostrożności,</w:t>
      </w:r>
      <w:r>
        <w:t xml:space="preserve"> </w:t>
      </w:r>
      <w:r w:rsidRPr="00E5784E">
        <w:t>zgodnie z dokumentacją projektową.</w:t>
      </w:r>
    </w:p>
    <w:p w:rsidR="00EA17E9" w:rsidRDefault="00EA17E9" w:rsidP="00EA17E9">
      <w:r w:rsidRPr="00E5784E">
        <w:t>Roboty rozbiórkowe obejmują</w:t>
      </w:r>
      <w:r>
        <w:t>:</w:t>
      </w:r>
    </w:p>
    <w:p w:rsidR="00EA17E9" w:rsidRPr="00AB05F3" w:rsidRDefault="00EA17E9" w:rsidP="001D2005">
      <w:pPr>
        <w:pStyle w:val="Akapitzlist"/>
        <w:numPr>
          <w:ilvl w:val="0"/>
          <w:numId w:val="17"/>
        </w:numPr>
        <w:spacing w:after="0" w:line="300" w:lineRule="atLeast"/>
        <w:ind w:left="765" w:hanging="357"/>
      </w:pPr>
      <w:r w:rsidRPr="00AB05F3">
        <w:t xml:space="preserve">demontaż stolarki okiennej, w tym kształtek szklanych (luksfery) i bramy stalowej przeznaczonych do wymiany (stolarkę przeznaczoną do wymiany oznaczono w części rysunkowej opracowania), </w:t>
      </w:r>
    </w:p>
    <w:p w:rsidR="00EA17E9" w:rsidRPr="00AB05F3" w:rsidRDefault="00EA17E9" w:rsidP="001D2005">
      <w:pPr>
        <w:pStyle w:val="Akapitzlist"/>
        <w:numPr>
          <w:ilvl w:val="0"/>
          <w:numId w:val="17"/>
        </w:numPr>
        <w:spacing w:after="0" w:line="300" w:lineRule="atLeast"/>
        <w:ind w:left="765" w:hanging="357"/>
      </w:pPr>
      <w:r w:rsidRPr="00AB05F3">
        <w:t xml:space="preserve">demontaż obróbek blacharskich, rynien i rur spustowych, </w:t>
      </w:r>
    </w:p>
    <w:p w:rsidR="00EA17E9" w:rsidRPr="00AB05F3" w:rsidRDefault="00EA17E9" w:rsidP="001D2005">
      <w:pPr>
        <w:pStyle w:val="Akapitzlist"/>
        <w:numPr>
          <w:ilvl w:val="0"/>
          <w:numId w:val="17"/>
        </w:numPr>
        <w:spacing w:after="0" w:line="300" w:lineRule="atLeast"/>
        <w:ind w:left="765" w:hanging="357"/>
      </w:pPr>
      <w:r w:rsidRPr="00AB05F3">
        <w:t xml:space="preserve">demontaż instalacji odgromowej, </w:t>
      </w:r>
    </w:p>
    <w:p w:rsidR="00EA17E9" w:rsidRPr="00AB05F3" w:rsidRDefault="00EA17E9" w:rsidP="001D2005">
      <w:pPr>
        <w:pStyle w:val="Akapitzlist"/>
        <w:numPr>
          <w:ilvl w:val="0"/>
          <w:numId w:val="17"/>
        </w:numPr>
        <w:spacing w:after="0" w:line="300" w:lineRule="atLeast"/>
        <w:ind w:left="765" w:hanging="357"/>
      </w:pPr>
      <w:r w:rsidRPr="00AB05F3">
        <w:t xml:space="preserve">rozbiórkę wszystkich nieużytkowanych kominów (w części ponad dachem), będących pozostałością po starych instalacjach (do obowiązków Wykonawcy należy ustalenie, które kominy nie są użytkowane), </w:t>
      </w:r>
    </w:p>
    <w:p w:rsidR="00EA17E9" w:rsidRPr="001312A1" w:rsidRDefault="00662476" w:rsidP="00AB05F3">
      <w:pPr>
        <w:pStyle w:val="Tekstkomentarza"/>
        <w:numPr>
          <w:ilvl w:val="0"/>
          <w:numId w:val="17"/>
        </w:numPr>
        <w:spacing w:after="0" w:line="300" w:lineRule="atLeast"/>
        <w:ind w:left="765" w:hanging="357"/>
        <w:rPr>
          <w:sz w:val="24"/>
          <w:szCs w:val="24"/>
        </w:rPr>
      </w:pPr>
      <w:r w:rsidRPr="001312A1">
        <w:rPr>
          <w:sz w:val="24"/>
          <w:szCs w:val="24"/>
        </w:rPr>
        <w:t>segregację wszelkich odpadów i załadunek na środki transportowe, wywóz i utylizację lub składowanie odpadów, zgodnie z Dokumentacją Projektową lub w sposób wskazany przez Zamawiającego oraz zgodnie z obowiązującymi przepisami, m.in. ustawą o  z dnia 14 grudnia 2012 r. o odpadach – t.j. Dz. U. z 2022 r. poz. 699 ze zm</w:t>
      </w:r>
      <w:r w:rsidR="00AB05F3" w:rsidRPr="001312A1">
        <w:rPr>
          <w:sz w:val="24"/>
          <w:szCs w:val="24"/>
        </w:rPr>
        <w:t>.</w:t>
      </w:r>
    </w:p>
    <w:p w:rsidR="00EA17E9" w:rsidRDefault="00EA17E9" w:rsidP="00EA17E9">
      <w:pPr>
        <w:pStyle w:val="Nagwek4"/>
      </w:pPr>
      <w:bookmarkStart w:id="15" w:name="_Toc81403441"/>
      <w:bookmarkStart w:id="16" w:name="_Toc81468171"/>
      <w:r>
        <w:t>Konstrukcja, wykończenie</w:t>
      </w:r>
      <w:bookmarkEnd w:id="15"/>
      <w:bookmarkEnd w:id="16"/>
    </w:p>
    <w:p w:rsidR="00EA17E9" w:rsidRDefault="00EA17E9" w:rsidP="00EA17E9">
      <w:r>
        <w:t>Zostanie wykonane nowe pokrycie dachowe z papy termozgrzewalnej z termoizolacją z płyt z wełny mineralnej. Zostaną wykonane nowe obróbki blacharskie oraz rynny i rury spustowe. Zostanie zamontowana nowa stolarka okienna z PCV wraz z parapetami wewnętrznymi i zewnętrznymi. Otwór do zdemontowanej bramie zostanie częściowo zamurowany, zostaną zamontowane drzwi wejściowe stalowe wraz z nadprożem.</w:t>
      </w:r>
    </w:p>
    <w:p w:rsidR="00EA17E9" w:rsidRDefault="00EA17E9" w:rsidP="00EA17E9">
      <w:pPr>
        <w:pStyle w:val="Nagwek4"/>
      </w:pPr>
      <w:bookmarkStart w:id="17" w:name="_Toc81403442"/>
      <w:bookmarkStart w:id="18" w:name="_Toc81468172"/>
      <w:r>
        <w:t>Instalacje</w:t>
      </w:r>
      <w:bookmarkEnd w:id="17"/>
      <w:bookmarkEnd w:id="18"/>
    </w:p>
    <w:p w:rsidR="00EA17E9" w:rsidRPr="00E5784E" w:rsidRDefault="00EA17E9" w:rsidP="00EA17E9">
      <w:r>
        <w:t>Zostanie wykonana nowa instalacja odgromowa.</w:t>
      </w:r>
    </w:p>
    <w:p w:rsidR="00EA17E9" w:rsidRPr="00E5784E" w:rsidRDefault="00EA17E9" w:rsidP="00EA17E9"/>
    <w:p w:rsidR="00EA17E9" w:rsidRPr="00E5784E" w:rsidRDefault="00EA17E9" w:rsidP="00EA17E9">
      <w:pPr>
        <w:pStyle w:val="Nagwek3"/>
        <w:ind w:left="1224" w:hanging="373"/>
      </w:pPr>
      <w:bookmarkStart w:id="19" w:name="_Toc81403443"/>
      <w:bookmarkStart w:id="20" w:name="_Toc81468173"/>
      <w:r w:rsidRPr="00E5784E">
        <w:t>Warunki wykonania i odbioru robót budowlanych</w:t>
      </w:r>
      <w:bookmarkEnd w:id="19"/>
      <w:bookmarkEnd w:id="20"/>
    </w:p>
    <w:p w:rsidR="00EA17E9" w:rsidRPr="00E5784E" w:rsidRDefault="00EA17E9" w:rsidP="00EA17E9">
      <w:r w:rsidRPr="00E5784E">
        <w:t>Wykonawca robót jest odpowiedzialny za prowadzone roboty i powinien prowadzić je zgodnie z dokumentacją projektową, PFU i poleceniami Nadzoru Inwestorskiego.</w:t>
      </w:r>
    </w:p>
    <w:p w:rsidR="00EA17E9" w:rsidRPr="00E5784E" w:rsidRDefault="00EA17E9" w:rsidP="00EA17E9">
      <w:r w:rsidRPr="00E5784E">
        <w:t>Następstwa jakiegokolwiek błędu w robotach, spowodowanego przez Wykonawcę zostaną przez niego poprawione na własny koszt.</w:t>
      </w:r>
    </w:p>
    <w:p w:rsidR="00EA17E9" w:rsidRPr="00E5784E" w:rsidRDefault="00EA17E9" w:rsidP="00EA17E9">
      <w:r w:rsidRPr="00E5784E">
        <w:t xml:space="preserve">Zamawiający, w terminie określonym w dokumentach umowy przekaże Wykonawcy teren budowy, wskaże punkt poboru wody i energii elektrycznej. Wykonawca jest zobowiązany do ustawienia oraz utrzymania na swój koszt zaplecza budowy w postaci kontenerów lub </w:t>
      </w:r>
      <w:r w:rsidRPr="00E5784E">
        <w:lastRenderedPageBreak/>
        <w:t xml:space="preserve">barakowozów. Miejsce usytuowania zaplecza budowy należy uzgodnić z Zamawiającym przed rozpoczęciem realizacji Inwestycji. </w:t>
      </w:r>
    </w:p>
    <w:p w:rsidR="00EA17E9" w:rsidRPr="00E5784E" w:rsidRDefault="00EA17E9" w:rsidP="00EA17E9">
      <w:r w:rsidRPr="00E5784E">
        <w:t>Na Wykonawcy spoczywa odpowiedzialność za ochronę przekazanego mu mienia do chwili odbioru końcowego robót. Uszkodzone lub zniszczone elementy Wykonawca odtworzy na własny koszt. Opłaty za korzystanie z mediów będą rozliczane na podstawie</w:t>
      </w:r>
      <w:r>
        <w:t xml:space="preserve"> </w:t>
      </w:r>
      <w:r w:rsidRPr="00E5784E">
        <w:t>warunków określonych w umowie zawartej z Wykonawcą.</w:t>
      </w:r>
    </w:p>
    <w:p w:rsidR="00EA17E9" w:rsidRPr="00E5784E" w:rsidRDefault="00EA17E9" w:rsidP="00EA17E9">
      <w:r w:rsidRPr="00E5784E">
        <w:t>Wykonawca będzie zobowiązany do przyjęcia odpowiedzialności na terenie budowy w zakresie: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organizacji robót budowlanych,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zabezpieczenia interesów osób trzecich,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ochrony środowiska,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warunków bezpieczeństwa pracy,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zaplecza dla potrzeb Wykonawcy,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warunków bezpieczeństwa ruchu,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ogrodzenia,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zabezpieczenia placu budowy przed dostępem osób trzecich,</w:t>
      </w:r>
    </w:p>
    <w:p w:rsidR="00EA17E9" w:rsidRPr="00E5784E" w:rsidRDefault="00EA17E9" w:rsidP="00EA17E9">
      <w:pPr>
        <w:pStyle w:val="Akapitzlist"/>
        <w:numPr>
          <w:ilvl w:val="0"/>
          <w:numId w:val="7"/>
        </w:numPr>
      </w:pPr>
      <w:r w:rsidRPr="00E5784E">
        <w:t>zabezpieczenia chodników i jezdni.</w:t>
      </w:r>
    </w:p>
    <w:p w:rsidR="00EA17E9" w:rsidRPr="001312A1" w:rsidRDefault="00EA17E9" w:rsidP="00EA17E9">
      <w:r w:rsidRPr="00E5784E">
        <w:t xml:space="preserve">Materiały pochodzące z rozbiórki takie jak: złom, gruz ceglany, betonowy, ceramiczny i inne </w:t>
      </w:r>
      <w:r w:rsidRPr="00E5784E">
        <w:br/>
        <w:t xml:space="preserve">powinny być wywiezione na wysypisko, natomiast papa oraz materiały zawierające azbest </w:t>
      </w:r>
      <w:r w:rsidRPr="00E5784E">
        <w:br/>
        <w:t>poddane utylizacji.</w:t>
      </w:r>
      <w:r w:rsidR="00F51C36" w:rsidRPr="00F51C36">
        <w:t xml:space="preserve"> </w:t>
      </w:r>
      <w:r w:rsidR="00F51C36" w:rsidRPr="001312A1">
        <w:t>Materiały pochodzące z rozbiórki i demontażu należy segregować, wywozić, utylizować zgodnie z obowiązującymi przepisami prawa, m.in. ustawą  z dnia 14 grudnia 2012 r. o odpadach (t.j. Dz. U. z 2022 r. poz. 699 ze zm)</w:t>
      </w:r>
      <w:r w:rsidR="00C47085">
        <w:t>.</w:t>
      </w:r>
    </w:p>
    <w:p w:rsidR="00EA17E9" w:rsidRPr="00E5784E" w:rsidRDefault="00EA17E9" w:rsidP="00EA17E9">
      <w:r w:rsidRPr="00E5784E">
        <w:t>Wszelkie koszty związane z utylizacją odpadów budowlanych, jak również utylizacją elementów pochodzących z rozbiórki oraz demontażu pokrywa Wykonawca. Wykonawca powinien wkalkulować je w cenę.</w:t>
      </w:r>
    </w:p>
    <w:p w:rsidR="00EA17E9" w:rsidRPr="00E5784E" w:rsidRDefault="00EA17E9" w:rsidP="00EA17E9">
      <w:pPr>
        <w:pStyle w:val="Nagwek4"/>
      </w:pPr>
      <w:bookmarkStart w:id="21" w:name="_Toc81403444"/>
      <w:bookmarkStart w:id="22" w:name="_Toc81468174"/>
      <w:r w:rsidRPr="00E5784E">
        <w:t>Wymagania dotyczące właściwości wyrobów budowlanych</w:t>
      </w:r>
      <w:bookmarkEnd w:id="21"/>
      <w:bookmarkEnd w:id="22"/>
    </w:p>
    <w:p w:rsidR="00EA17E9" w:rsidRPr="00E5784E" w:rsidRDefault="00EA17E9" w:rsidP="00EA17E9">
      <w:r w:rsidRPr="00E5784E">
        <w:t>Do wykonania robót budowlanych należy stosować wyroby dopuszczone do obrotu i stosowania w budownictwie. Za dopuszczone do obrotu i stosowania w budownictwie uznaje się wyroby, dla których zgodnie z odrębnymi przepisami wydano atest zgodności.</w:t>
      </w:r>
    </w:p>
    <w:p w:rsidR="00EA17E9" w:rsidRPr="00E5784E" w:rsidRDefault="00EA17E9" w:rsidP="00EA17E9">
      <w:r w:rsidRPr="00E5784E">
        <w:t>Niedopuszczalnym jest stosowanie materiałów szkodliwych dla środowiska. Wszelkie konsekwencje użycia materiałów szkodliwych dla otoczenia ponosi Wykonawca.</w:t>
      </w:r>
    </w:p>
    <w:p w:rsidR="00EA17E9" w:rsidRDefault="00EA17E9" w:rsidP="00EA17E9">
      <w:r w:rsidRPr="00E5784E">
        <w:t xml:space="preserve">Wykonawca zapewni, aby tymczasowo składowane materiały, do czasu, gdy będą one potrzebne do robót, były zabezpieczone przed zanieczyszczeniem, zachowały swoją jakość i właściwość do robót i były dostępne do kontroli przez Nadzór Inwestorski. Miejsca czasowego składowania materiałów będą zlokalizowane w obrębie terenu budowy w miejscach lub poza terenem budowy w miejscach uzgodnionych z Zamawiającym. Po </w:t>
      </w:r>
      <w:r w:rsidRPr="00E5784E">
        <w:lastRenderedPageBreak/>
        <w:t>zakończeniu robót miejsca czasowego składowania materiałów powinny być doprowadzone do ich pierwotnego stanu.</w:t>
      </w:r>
    </w:p>
    <w:p w:rsidR="004309C7" w:rsidRPr="00E5784E" w:rsidRDefault="004309C7" w:rsidP="00EA17E9"/>
    <w:p w:rsidR="00EA17E9" w:rsidRDefault="00EA17E9" w:rsidP="00EA17E9">
      <w:r w:rsidRPr="00E5784E">
        <w:t xml:space="preserve">Materiały stosowane przy wykonywaniu robót: </w:t>
      </w:r>
    </w:p>
    <w:p w:rsidR="00EA17E9" w:rsidRPr="00937D60" w:rsidRDefault="00EA17E9" w:rsidP="00EA17E9">
      <w:pPr>
        <w:pStyle w:val="Akapitzlist"/>
        <w:numPr>
          <w:ilvl w:val="0"/>
          <w:numId w:val="16"/>
        </w:numPr>
      </w:pPr>
      <w:r w:rsidRPr="00937D60">
        <w:t xml:space="preserve">folia PE </w:t>
      </w:r>
      <w:r w:rsidR="00F51C36">
        <w:t xml:space="preserve">o grubości min 0,2 mm </w:t>
      </w:r>
      <w:r w:rsidRPr="00937D60">
        <w:t>– paroizolacja</w:t>
      </w:r>
    </w:p>
    <w:p w:rsidR="00EA17E9" w:rsidRPr="005D3136" w:rsidRDefault="00EA17E9" w:rsidP="00EA17E9">
      <w:pPr>
        <w:pStyle w:val="Akapitzlist"/>
        <w:numPr>
          <w:ilvl w:val="0"/>
          <w:numId w:val="16"/>
        </w:numPr>
      </w:pPr>
      <w:r w:rsidRPr="005D3136">
        <w:t>płyty z wełny mineralnej</w:t>
      </w:r>
    </w:p>
    <w:p w:rsidR="00EA17E9" w:rsidRPr="005D3136" w:rsidRDefault="00EA17E9" w:rsidP="00EA17E9">
      <w:pPr>
        <w:pStyle w:val="Akapitzlist"/>
        <w:numPr>
          <w:ilvl w:val="1"/>
          <w:numId w:val="16"/>
        </w:numPr>
      </w:pPr>
      <w:r w:rsidRPr="005D3136">
        <w:t>współczynnik przewodzenia ciepła max. λ=0,035 W/mK</w:t>
      </w:r>
    </w:p>
    <w:p w:rsidR="00EA17E9" w:rsidRPr="005D3136" w:rsidRDefault="00EA17E9" w:rsidP="00EA17E9">
      <w:pPr>
        <w:pStyle w:val="Akapitzlist"/>
        <w:numPr>
          <w:ilvl w:val="1"/>
          <w:numId w:val="16"/>
        </w:numPr>
      </w:pPr>
      <w:r w:rsidRPr="005D3136">
        <w:t>krótkotrwała nasiąkliwość wodą WS (≤ 1 kg/m2)</w:t>
      </w:r>
    </w:p>
    <w:p w:rsidR="00EA17E9" w:rsidRPr="005D3136" w:rsidRDefault="00EA17E9" w:rsidP="00EA17E9">
      <w:pPr>
        <w:pStyle w:val="Akapitzlist"/>
        <w:numPr>
          <w:ilvl w:val="1"/>
          <w:numId w:val="16"/>
        </w:numPr>
      </w:pPr>
      <w:r w:rsidRPr="005D3136">
        <w:t>długotrwała nasiąkliwość wodą WL(P) (≤ 3 kg/m)</w:t>
      </w:r>
    </w:p>
    <w:p w:rsidR="00EA17E9" w:rsidRPr="005D3136" w:rsidRDefault="00EA17E9" w:rsidP="00EA17E9">
      <w:pPr>
        <w:pStyle w:val="Akapitzlist"/>
        <w:numPr>
          <w:ilvl w:val="1"/>
          <w:numId w:val="16"/>
        </w:numPr>
      </w:pPr>
      <w:r w:rsidRPr="005D3136">
        <w:t>klasa reakcji na ogień: A1</w:t>
      </w:r>
    </w:p>
    <w:p w:rsidR="00EA17E9" w:rsidRPr="001620D6" w:rsidRDefault="00EA17E9" w:rsidP="00EA17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 xml:space="preserve">izokliny </w:t>
      </w:r>
      <w:r>
        <w:rPr>
          <w:rFonts w:cs="Calibri"/>
        </w:rPr>
        <w:t xml:space="preserve">z wełny mineralnej np. </w:t>
      </w:r>
      <w:r w:rsidRPr="001620D6">
        <w:rPr>
          <w:rFonts w:cs="Calibri"/>
        </w:rPr>
        <w:t>5x5cm</w:t>
      </w:r>
    </w:p>
    <w:p w:rsidR="00EA17E9" w:rsidRPr="001620D6" w:rsidRDefault="00EA17E9" w:rsidP="00EA17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bitumiczny środek gruntujący pod papę</w:t>
      </w:r>
    </w:p>
    <w:p w:rsidR="00EA17E9" w:rsidRPr="001620D6" w:rsidRDefault="00EA17E9" w:rsidP="00EA17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papa termozgrzewalna podkładowa</w:t>
      </w:r>
    </w:p>
    <w:p w:rsidR="00EA17E9" w:rsidRPr="001620D6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modyfikowana SBS na osnowie z włókniny poliestrowej PV250</w:t>
      </w:r>
    </w:p>
    <w:p w:rsidR="00EA17E9" w:rsidRPr="001620D6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Grubość (mm): 4,0 (±0,2)</w:t>
      </w:r>
    </w:p>
    <w:p w:rsidR="00EA17E9" w:rsidRPr="001620D6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odporność na obciążenia statyczne: min. 20kg</w:t>
      </w:r>
    </w:p>
    <w:p w:rsidR="00EA17E9" w:rsidRPr="001620D6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reakcja na ogień: klasa E</w:t>
      </w:r>
    </w:p>
    <w:p w:rsidR="00EA17E9" w:rsidRPr="001620D6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20D6">
        <w:rPr>
          <w:rFonts w:cs="Calibri"/>
        </w:rPr>
        <w:t>odporność na działanie ognia zewnętrznego: min. BROOF (t1)</w:t>
      </w:r>
    </w:p>
    <w:p w:rsidR="00EA17E9" w:rsidRPr="009C36F3" w:rsidRDefault="00EA17E9" w:rsidP="00EA17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papa termozgrzewalna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papa wierzchniego krycia modyfikowana SBS na osnowie z włókniny poliestrowej PV250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Grubość (mm): 5,</w:t>
      </w:r>
      <w:r>
        <w:rPr>
          <w:rFonts w:cs="Calibri"/>
        </w:rPr>
        <w:t>2</w:t>
      </w:r>
      <w:r w:rsidRPr="009C36F3">
        <w:rPr>
          <w:rFonts w:cs="Calibri"/>
        </w:rPr>
        <w:t xml:space="preserve"> (±0,2)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Rodzaj asfaltu, giętkość: mod. SBS; ≤ -25°C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 xml:space="preserve">wodoszczelna przy ciśnieniu 200 kPa 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wytrzymałość na rozdzieranie (gwoździem) kierunek wzdłuż: min. 250±100 N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wytrzymałość na rozdzieranie (gwoździem) kierunek w poprzek: min. 250±100 N</w:t>
      </w:r>
    </w:p>
    <w:p w:rsidR="00EA17E9" w:rsidRPr="009C36F3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C36F3">
        <w:rPr>
          <w:rFonts w:cs="Calibri"/>
        </w:rPr>
        <w:t>odporność na obciążenia statyczne: min. 20kg</w:t>
      </w:r>
    </w:p>
    <w:p w:rsidR="00EA17E9" w:rsidRPr="00D5466E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5466E">
        <w:rPr>
          <w:rFonts w:cs="Calibri"/>
        </w:rPr>
        <w:t>reakcja na ogień: klasa E</w:t>
      </w:r>
    </w:p>
    <w:p w:rsidR="00EA17E9" w:rsidRPr="00D5466E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5466E">
        <w:rPr>
          <w:rFonts w:cs="Calibri"/>
        </w:rPr>
        <w:t>odporność ogniowa REI: min. REI 30</w:t>
      </w:r>
    </w:p>
    <w:p w:rsidR="00EA17E9" w:rsidRPr="00C47085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47085">
        <w:rPr>
          <w:rFonts w:cs="Calibri"/>
        </w:rPr>
        <w:t>odporność na działanie ognia zewnętrznego: min. BROOF (t1)</w:t>
      </w:r>
    </w:p>
    <w:p w:rsidR="00EA17E9" w:rsidRPr="00C47085" w:rsidRDefault="00EA17E9" w:rsidP="00EA17E9">
      <w:pPr>
        <w:pStyle w:val="Akapitzlist"/>
        <w:numPr>
          <w:ilvl w:val="0"/>
          <w:numId w:val="16"/>
        </w:numPr>
      </w:pPr>
      <w:r w:rsidRPr="00C47085">
        <w:t>kominki wentylacyjne</w:t>
      </w:r>
    </w:p>
    <w:p w:rsidR="00EA17E9" w:rsidRPr="00C47085" w:rsidRDefault="00EA17E9" w:rsidP="00EA17E9">
      <w:pPr>
        <w:pStyle w:val="Akapitzlist"/>
        <w:numPr>
          <w:ilvl w:val="0"/>
          <w:numId w:val="16"/>
        </w:numPr>
      </w:pPr>
      <w:r w:rsidRPr="00C47085">
        <w:t>łączniki mechaniczne</w:t>
      </w:r>
    </w:p>
    <w:p w:rsidR="00EA17E9" w:rsidRPr="00C47085" w:rsidRDefault="00EA17E9" w:rsidP="00EA17E9">
      <w:pPr>
        <w:pStyle w:val="Akapitzlist"/>
        <w:numPr>
          <w:ilvl w:val="0"/>
          <w:numId w:val="16"/>
        </w:numPr>
      </w:pPr>
      <w:r w:rsidRPr="00C47085">
        <w:t>blacha stalowa ocynkowana 0,55</w:t>
      </w:r>
      <w:r w:rsidR="00DF02EF" w:rsidRPr="00C47085">
        <w:t xml:space="preserve"> </w:t>
      </w:r>
      <w:r w:rsidRPr="00C47085">
        <w:t xml:space="preserve">mm 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974B7">
        <w:rPr>
          <w:rFonts w:cs="Calibri"/>
        </w:rPr>
        <w:t>uszczelniacz polimerowy trwale</w:t>
      </w:r>
      <w:r w:rsidR="00DF02EF">
        <w:rPr>
          <w:rFonts w:cs="Calibri"/>
        </w:rPr>
        <w:t xml:space="preserve"> </w:t>
      </w:r>
      <w:r w:rsidRPr="006974B7">
        <w:rPr>
          <w:rFonts w:cs="Calibri"/>
        </w:rPr>
        <w:t>plastyczny</w:t>
      </w:r>
    </w:p>
    <w:p w:rsidR="00EA17E9" w:rsidRPr="006974B7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974B7">
        <w:rPr>
          <w:rFonts w:cs="Calibri"/>
        </w:rPr>
        <w:t>zachowanie estetyczności minimum w przedziale -50ºC do +90ºC)</w:t>
      </w:r>
    </w:p>
    <w:p w:rsidR="00EA17E9" w:rsidRPr="006974B7" w:rsidRDefault="00EA17E9" w:rsidP="00EA17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974B7">
        <w:rPr>
          <w:rFonts w:cs="Calibri"/>
        </w:rPr>
        <w:t>odporny na promieniowanie UV i warunki atmosferyczne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rynny i rury spustowe z blachy ocynkowanej wraz z systemem mocowań, łączników itp.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cegła ceramiczna pełna M15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zaprawa cementowo – wapienna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tynk cementowo – wapienny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lastRenderedPageBreak/>
        <w:t>farby do wnętrz i fasadowe dopasowane do istniejących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nadproże drzwiowe prefabrykowane typu L</w:t>
      </w:r>
    </w:p>
    <w:p w:rsidR="00EA17E9" w:rsidRPr="00B64665" w:rsidRDefault="00EA17E9" w:rsidP="00EA17E9">
      <w:pPr>
        <w:pStyle w:val="Akapitzlist"/>
        <w:numPr>
          <w:ilvl w:val="0"/>
          <w:numId w:val="16"/>
        </w:numPr>
      </w:pPr>
      <w:r w:rsidRPr="00B64665">
        <w:t>drzwi wejściowe stalowe</w:t>
      </w:r>
    </w:p>
    <w:p w:rsidR="00EA17E9" w:rsidRDefault="000C19A9" w:rsidP="00EA17E9">
      <w:pPr>
        <w:pStyle w:val="Akapitzlist"/>
        <w:numPr>
          <w:ilvl w:val="1"/>
          <w:numId w:val="16"/>
        </w:numPr>
      </w:pPr>
      <w:r>
        <w:t xml:space="preserve">maksymalna </w:t>
      </w:r>
      <w:r w:rsidR="00EA17E9">
        <w:t xml:space="preserve">wartość współczynnika przenikania ciepła </w:t>
      </w:r>
      <w:r w:rsidR="00EA17E9" w:rsidRPr="00683929">
        <w:rPr>
          <w:b/>
        </w:rPr>
        <w:t>U</w:t>
      </w:r>
      <w:r w:rsidR="00EA17E9" w:rsidRPr="00683929">
        <w:rPr>
          <w:b/>
          <w:vertAlign w:val="subscript"/>
        </w:rPr>
        <w:t>max</w:t>
      </w:r>
      <w:r w:rsidR="00EA17E9">
        <w:rPr>
          <w:b/>
        </w:rPr>
        <w:t xml:space="preserve"> = 1,3</w:t>
      </w:r>
      <w:r w:rsidR="00EA17E9" w:rsidRPr="00B84B76">
        <w:rPr>
          <w:b/>
        </w:rPr>
        <w:t>0 W/m2K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>wymiary 1,20x2,00m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>k</w:t>
      </w:r>
      <w:r w:rsidRPr="00556AFA">
        <w:t>olor uzgodnić z Zamawiającym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 xml:space="preserve">wyposażone w system kanałów odwadniających i przewietrzających zabezpieczający profil przed penetracją wody do jego wnętrza i odprowadzający skraplającą się w nim parę wodną 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 xml:space="preserve">wyposażone w okucia zamykające, łączące, zabezpieczające 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>wyposażone</w:t>
      </w:r>
      <w:r w:rsidRPr="007C43DA">
        <w:t xml:space="preserve"> w samozamykacze</w:t>
      </w:r>
      <w:r>
        <w:t>, minimum 2 zamki</w:t>
      </w:r>
    </w:p>
    <w:p w:rsidR="00EA17E9" w:rsidRDefault="00EA17E9" w:rsidP="00EA17E9">
      <w:pPr>
        <w:pStyle w:val="Akapitzlist"/>
        <w:numPr>
          <w:ilvl w:val="1"/>
          <w:numId w:val="16"/>
        </w:numPr>
      </w:pPr>
      <w:r>
        <w:t xml:space="preserve">montaż na kotwy stalowe z uszczelnieniem pianką montażową – poliuretanową </w:t>
      </w:r>
    </w:p>
    <w:p w:rsidR="00EA17E9" w:rsidRPr="00B64665" w:rsidRDefault="00EA17E9" w:rsidP="00EA17E9">
      <w:pPr>
        <w:pStyle w:val="Akapitzlist"/>
        <w:numPr>
          <w:ilvl w:val="0"/>
          <w:numId w:val="16"/>
        </w:numPr>
      </w:pPr>
      <w:r w:rsidRPr="00B64665">
        <w:t>okna</w:t>
      </w:r>
    </w:p>
    <w:p w:rsidR="00EA17E9" w:rsidRPr="00B64665" w:rsidRDefault="000C19A9" w:rsidP="00EA17E9">
      <w:pPr>
        <w:pStyle w:val="Akapitzlist"/>
        <w:numPr>
          <w:ilvl w:val="1"/>
          <w:numId w:val="16"/>
        </w:numPr>
      </w:pPr>
      <w:r>
        <w:t xml:space="preserve">maksymalna </w:t>
      </w:r>
      <w:r w:rsidR="00EA17E9" w:rsidRPr="00B64665">
        <w:t>wartość współczynnika przenikania ciepła dla całego okna</w:t>
      </w:r>
      <w:r w:rsidR="005B177E">
        <w:t xml:space="preserve"> </w:t>
      </w:r>
      <w:r w:rsidR="00EA17E9" w:rsidRPr="00B64665">
        <w:rPr>
          <w:b/>
        </w:rPr>
        <w:t>U</w:t>
      </w:r>
      <w:r w:rsidR="00EA17E9" w:rsidRPr="00B64665">
        <w:rPr>
          <w:b/>
          <w:vertAlign w:val="subscript"/>
        </w:rPr>
        <w:t>max</w:t>
      </w:r>
      <w:r w:rsidR="00EA17E9" w:rsidRPr="00B64665">
        <w:rPr>
          <w:b/>
        </w:rPr>
        <w:t xml:space="preserve"> = 0,90 W/m</w:t>
      </w:r>
      <w:r w:rsidR="00EA17E9" w:rsidRPr="00B64665">
        <w:rPr>
          <w:b/>
          <w:vertAlign w:val="superscript"/>
        </w:rPr>
        <w:t>2</w:t>
      </w:r>
      <w:r w:rsidR="00EA17E9" w:rsidRPr="00B64665">
        <w:rPr>
          <w:b/>
        </w:rPr>
        <w:t>K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wymiary jak istniejąca stolarka okienna: 850x850mm (13szt.), 900x1450mm (10szt.), 650x185mm (2szt.)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okna uchylno-rozwierne, w kolorze białym</w:t>
      </w:r>
      <w:r>
        <w:t>, podział dopasować do istniejącej stolarki okiennej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 xml:space="preserve">ościeżnice i ramy okienne wykonane z PCV 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 xml:space="preserve">profile o konstrukcji sześciokomorowej (zarówno profil ościeżnicy jak i profil skrzydeł okiennych) 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 xml:space="preserve">wyposażone w system kanałów odwadniających i przewietrzających zabezpieczający profil ramy okiennej przed penetracją wody do jego wnętrza i odprowadzający skraplającą się w nim parę wodną 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szyby standardowe typ Float 4/16/4/16/4 (szklenie trójszynowe dwukomorowe)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wymagane okucia: obwiedniowe, powodujące docisk skrzydła do ramy na całym jego obwodzie. Zastosowane okucia mają zapewnić możliwość wielostopniowego otwierania skrzydła (od pełnej hermetyczności zamkniętego okna, poprzez rozhermetyzowanie-rozszczelnienie, do uchylenia 15-20 cm górnej krawędzi skrzydła oraz umożliwić całkowite rozwarcie skrzydeł okiennych). Okucia powinny bezwzględnie zawierać blokady przeciwwiatrowe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zastosowanie okien z nawiewnikami spełniające wymagania wentylacji pomieszczeń przez infiltrację</w:t>
      </w:r>
    </w:p>
    <w:p w:rsidR="00EA17E9" w:rsidRPr="00B64665" w:rsidRDefault="00EA17E9" w:rsidP="00EA17E9">
      <w:pPr>
        <w:pStyle w:val="Akapitzlist"/>
        <w:numPr>
          <w:ilvl w:val="1"/>
          <w:numId w:val="16"/>
        </w:numPr>
      </w:pPr>
      <w:r w:rsidRPr="00B64665">
        <w:t>tzw. „ciepły montaż” na kotwy stalowe z wykorzystaniem taśm paroszczelnych i paroprzepuszczalnych wraz z uszczelnieniem pianką montażową – poliuretanową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pianka poliuretanowa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lastRenderedPageBreak/>
        <w:t>kotwy stalowe i łączniki systemowe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parapety zewnętrzne z blachy stalowej ocynkowanej</w:t>
      </w:r>
      <w:r w:rsidR="00330A4C">
        <w:t xml:space="preserve"> ocynkowanej </w:t>
      </w:r>
      <w:r w:rsidR="00585886">
        <w:t xml:space="preserve"> </w:t>
      </w:r>
      <w:r w:rsidR="00330A4C" w:rsidRPr="009C601A">
        <w:t>min.</w:t>
      </w:r>
      <w:r w:rsidR="00330A4C" w:rsidRPr="00585886">
        <w:rPr>
          <w:color w:val="FF0000"/>
        </w:rPr>
        <w:t xml:space="preserve"> </w:t>
      </w:r>
      <w:r w:rsidRPr="00585886">
        <w:rPr>
          <w:color w:val="FF0000"/>
        </w:rPr>
        <w:t xml:space="preserve"> </w:t>
      </w:r>
      <w:r w:rsidRPr="006974B7">
        <w:t>0,55mm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parapety wewnętrzne z PCV</w:t>
      </w:r>
    </w:p>
    <w:p w:rsidR="00EA17E9" w:rsidRPr="006974B7" w:rsidRDefault="00EA17E9" w:rsidP="00EA17E9">
      <w:pPr>
        <w:pStyle w:val="Akapitzlist"/>
        <w:numPr>
          <w:ilvl w:val="0"/>
          <w:numId w:val="16"/>
        </w:numPr>
      </w:pPr>
      <w:r w:rsidRPr="006974B7">
        <w:t>materiały pomocnicze</w:t>
      </w:r>
    </w:p>
    <w:p w:rsidR="00EA17E9" w:rsidRPr="00E5784E" w:rsidRDefault="00EA17E9" w:rsidP="00EA17E9">
      <w:r w:rsidRPr="00E5784E">
        <w:t>Dopuszcza się inne rozwiązania techniczne, o takim samym lub wyższym standardzie od określonych w dokumentacji projektowej. Wprowadzenie zmian należy uzgodnić z Zamawiającym.</w:t>
      </w:r>
    </w:p>
    <w:p w:rsidR="00EA17E9" w:rsidRPr="00E5784E" w:rsidRDefault="00EA17E9" w:rsidP="00EA17E9">
      <w:r w:rsidRPr="00E5784E">
        <w:t>Materiały nieodpowiadające wymaganiom zostaną przez Wykonawcę wywiezione z terenu budowy na koszt Wykonawcy. Wszelkie roboty, w których znajdują się niezbadane i niezaakceptowane materiały Wykonawca wykonuje na własne ryzyko, licząc się z ich nie przyjęciem i niezapłaceniem za ich wykonanie.</w:t>
      </w:r>
    </w:p>
    <w:p w:rsidR="00EA17E9" w:rsidRPr="00E5784E" w:rsidRDefault="00EA17E9" w:rsidP="00EA17E9">
      <w:pPr>
        <w:pStyle w:val="Nagwek4"/>
      </w:pPr>
      <w:bookmarkStart w:id="23" w:name="_Toc81403445"/>
      <w:bookmarkStart w:id="24" w:name="_Toc81468175"/>
      <w:r w:rsidRPr="00E5784E">
        <w:t>Wymagania dotyczące sprzętu i maszyn</w:t>
      </w:r>
      <w:bookmarkEnd w:id="23"/>
      <w:bookmarkEnd w:id="24"/>
    </w:p>
    <w:p w:rsidR="00EA17E9" w:rsidRPr="00C47085" w:rsidRDefault="00EA17E9" w:rsidP="00EA17E9">
      <w:r w:rsidRPr="00C47085">
        <w:t>Wykonawca jest zobowiązany do używania jedynie takiego sprzętu, który nie spowoduje niekorzystnego wpływu na jakość wykonywanych robót. Sprzęt używany do robót powinien być zgodny z ofertą Wykonawcy i powinien odpowiadać pod względem typów zawartych w dokumentacji projektowej. Warunkiem podstawowym dla użycia sprzętu jest jego sprawność techniczna i parametry odpowiadające wymogom wykonywanej czynności. W przypadku braku ustaleń sprzęt powinien być zaakceptowany przez Inspektora nadzoru.</w:t>
      </w:r>
    </w:p>
    <w:p w:rsidR="00EA17E9" w:rsidRPr="00E5784E" w:rsidRDefault="00EA17E9" w:rsidP="00EA17E9">
      <w:pPr>
        <w:pStyle w:val="Nagwek4"/>
      </w:pPr>
      <w:bookmarkStart w:id="25" w:name="_Toc81403446"/>
      <w:bookmarkStart w:id="26" w:name="_Toc81468176"/>
      <w:r w:rsidRPr="00E5784E">
        <w:t>Wymagania dotyczące środków transportu</w:t>
      </w:r>
      <w:bookmarkEnd w:id="25"/>
      <w:bookmarkEnd w:id="26"/>
    </w:p>
    <w:p w:rsidR="00EA17E9" w:rsidRPr="00C47085" w:rsidRDefault="00EA17E9" w:rsidP="00EA17E9">
      <w:r w:rsidRPr="00C47085">
        <w:t xml:space="preserve">Wykonawca jest zobowiązany do stosowania jedynie takich środków transportu, które nie wpłyną niekorzystnie na jakość wykonywanych robót i właściwości przewożonych materiałów. Przy ruchu na drogach publicznych pojazdy powinny spełniać wymagania dotyczące przepisów ruchu drogowego w odniesieniu do dopuszczalnych obciążeń na osie i innych parametrów technicznych. </w:t>
      </w:r>
    </w:p>
    <w:p w:rsidR="00EA17E9" w:rsidRPr="00C47085" w:rsidRDefault="00EA17E9" w:rsidP="00EA17E9">
      <w:r w:rsidRPr="00C47085">
        <w:t>Wykonawca będzie usuwał na bieżąco, na własny koszt, wszelkie zanieczyszczenia spowodowane jego pojazdami na drogach publicznych oraz dojazdowych do terenu budowy.</w:t>
      </w:r>
    </w:p>
    <w:p w:rsidR="00EA17E9" w:rsidRPr="00E5784E" w:rsidRDefault="00EA17E9" w:rsidP="00EA17E9">
      <w:pPr>
        <w:pStyle w:val="Nagwek4"/>
      </w:pPr>
      <w:bookmarkStart w:id="27" w:name="_Toc81403447"/>
      <w:bookmarkStart w:id="28" w:name="_Toc81468177"/>
      <w:r w:rsidRPr="00E5784E">
        <w:t>Wymagania dotyczące wykonania robót budowlanych</w:t>
      </w:r>
      <w:bookmarkEnd w:id="27"/>
      <w:bookmarkEnd w:id="28"/>
    </w:p>
    <w:p w:rsidR="00EA17E9" w:rsidRPr="00DB72A8" w:rsidRDefault="00EA17E9" w:rsidP="00EA17E9">
      <w:pPr>
        <w:rPr>
          <w:b/>
        </w:rPr>
      </w:pPr>
      <w:r w:rsidRPr="00DB72A8">
        <w:rPr>
          <w:b/>
        </w:rPr>
        <w:t xml:space="preserve"> Remont dachu</w:t>
      </w:r>
    </w:p>
    <w:p w:rsidR="00EA17E9" w:rsidRPr="00980C7F" w:rsidRDefault="00EA17E9" w:rsidP="00EA17E9">
      <w:r w:rsidRPr="00980C7F">
        <w:t>Przed przystąpieniem do robót związanych z wykonaniem termoizolacji i pokrycia dachowego oczyścić  podłoże z  brudu, usunąć  istniejące  nierówności i luźne fragmenty istniejącego pokrycia.</w:t>
      </w:r>
    </w:p>
    <w:p w:rsidR="00EA17E9" w:rsidRPr="00980C7F" w:rsidRDefault="00EA17E9" w:rsidP="00EA17E9">
      <w:r w:rsidRPr="00980C7F">
        <w:t>Planuje się wykonanie następujących warstw pokrycia dachowego:</w:t>
      </w:r>
    </w:p>
    <w:p w:rsidR="00EA17E9" w:rsidRPr="00980C7F" w:rsidRDefault="00EA17E9" w:rsidP="00EA17E9">
      <w:pPr>
        <w:pStyle w:val="Akapitzlist"/>
        <w:numPr>
          <w:ilvl w:val="0"/>
          <w:numId w:val="19"/>
        </w:numPr>
      </w:pPr>
      <w:r w:rsidRPr="00980C7F">
        <w:t>paroizolacja (folie PE)</w:t>
      </w:r>
    </w:p>
    <w:p w:rsidR="00EA17E9" w:rsidRPr="00980C7F" w:rsidRDefault="00EA17E9" w:rsidP="00EA17E9">
      <w:pPr>
        <w:pStyle w:val="Akapitzlist"/>
        <w:numPr>
          <w:ilvl w:val="0"/>
          <w:numId w:val="19"/>
        </w:numPr>
      </w:pPr>
      <w:r w:rsidRPr="00980C7F">
        <w:t>termoizolacja (płyty z wełny mineralnej, dwie warstwy)</w:t>
      </w:r>
    </w:p>
    <w:p w:rsidR="00EA17E9" w:rsidRPr="00980C7F" w:rsidRDefault="00EA17E9" w:rsidP="00EA17E9">
      <w:pPr>
        <w:pStyle w:val="Akapitzlist"/>
        <w:numPr>
          <w:ilvl w:val="0"/>
          <w:numId w:val="19"/>
        </w:numPr>
      </w:pPr>
      <w:r w:rsidRPr="00980C7F">
        <w:lastRenderedPageBreak/>
        <w:t>papa podkładowa (jednowarstwowo)</w:t>
      </w:r>
    </w:p>
    <w:p w:rsidR="00EA17E9" w:rsidRPr="00980C7F" w:rsidRDefault="00EA17E9" w:rsidP="00EA17E9">
      <w:pPr>
        <w:pStyle w:val="Akapitzlist"/>
        <w:numPr>
          <w:ilvl w:val="0"/>
          <w:numId w:val="19"/>
        </w:numPr>
      </w:pPr>
      <w:r w:rsidRPr="00980C7F">
        <w:t>papa wierzchniego krycia (jednowarstwowo)</w:t>
      </w:r>
    </w:p>
    <w:p w:rsidR="00EA17E9" w:rsidRDefault="00EA17E9" w:rsidP="00EA17E9">
      <w:pPr>
        <w:jc w:val="center"/>
        <w:rPr>
          <w:color w:val="D99594" w:themeColor="accent2" w:themeTint="99"/>
        </w:rPr>
      </w:pPr>
      <w:r>
        <w:rPr>
          <w:noProof/>
          <w:color w:val="C0504D" w:themeColor="accent2"/>
          <w:lang w:eastAsia="pl-PL"/>
        </w:rPr>
        <w:drawing>
          <wp:inline distT="0" distB="0" distL="0" distR="0">
            <wp:extent cx="4183582" cy="3568121"/>
            <wp:effectExtent l="0" t="0" r="7620" b="0"/>
            <wp:docPr id="2" name="Obraz 2" descr="D:\Dysk Google\Kierownik budowy\Przetargi publiczne\Wygrane\2021-08-19 PFU przebudowa opolskie\opracowanie\do pfu przekrój da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ysk Google\Kierownik budowy\Przetargi publiczne\Wygrane\2021-08-19 PFU przebudowa opolskie\opracowanie\do pfu przekrój dac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54" cy="356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E9" w:rsidRPr="00980C7F" w:rsidRDefault="00EA17E9" w:rsidP="00EA17E9">
      <w:pPr>
        <w:rPr>
          <w:color w:val="D99594" w:themeColor="accent2" w:themeTint="99"/>
        </w:rPr>
      </w:pPr>
    </w:p>
    <w:p w:rsidR="00EA17E9" w:rsidRPr="00980C7F" w:rsidRDefault="00EA17E9" w:rsidP="00EA17E9">
      <w:r w:rsidRPr="00980C7F">
        <w:t>Termoizolację wykonać z wełny mineralnej dwuwarstwowo z przesunięciem łączeń w celu wyeliminowania mostków termicznych. Stropodach należy  ocieplić  stosownie  do  wymagań dotyczących izolacyjności cieplnej (wymagane jest uzyskanie współczynnika przenikania ciepła dla przegrody nie większego niż U=0,14 W/m2*K). Założono wykonanie warstwy termoizolacji o grubości 24cm (2x12cm) wełną mineralną o współczynniku przewodzenia ciepła co najmniej λ = 0,036 W/mK, co pozwoli uzyskać współczynnik przenikania ciepła dla stropodachu U=0,14 W/m2*K.</w:t>
      </w:r>
    </w:p>
    <w:p w:rsidR="00EA17E9" w:rsidRPr="00980C7F" w:rsidRDefault="00EA17E9" w:rsidP="00EA17E9">
      <w:r w:rsidRPr="00980C7F">
        <w:t>Zastosować montaż za pomocą łączników mechanicznych zgodnie z zaleceniami  producenta wełny mineralnej. Ilość  łączników  mechanicznych  ustalić  dla poszczególnych fragmentów dachu (strefy narożne, strefy brzegowe, strefy wewnętrzne) w zależności od strefy obciążenia wiatrem.</w:t>
      </w:r>
    </w:p>
    <w:p w:rsidR="00EA17E9" w:rsidRPr="00980C7F" w:rsidRDefault="00EA17E9" w:rsidP="00EA17E9">
      <w:r w:rsidRPr="00980C7F">
        <w:t xml:space="preserve">Dach powinien być tak wyprofilowany, aby zapewnić prawidłowy odpływ wód opadowych. </w:t>
      </w:r>
    </w:p>
    <w:p w:rsidR="00EA17E9" w:rsidRDefault="00EA17E9" w:rsidP="00EA17E9">
      <w:r w:rsidRPr="00980C7F">
        <w:t xml:space="preserve">Wykonać pokrycie papą podkładową i papą termozgrzewalną wierzchniego krycia. </w:t>
      </w:r>
      <w:r>
        <w:t xml:space="preserve">Stosować zakład min. 10cm. </w:t>
      </w:r>
      <w:r w:rsidRPr="00980C7F">
        <w:t>Konieczny jest montaż kominków wentylacyjnych (1szt. na 40-60m2)</w:t>
      </w:r>
      <w:r>
        <w:t>.</w:t>
      </w:r>
    </w:p>
    <w:p w:rsidR="00EA17E9" w:rsidRPr="00980C7F" w:rsidRDefault="00EA17E9" w:rsidP="00EA17E9">
      <w:r w:rsidRPr="00A7230D">
        <w:t>Podczas obróbki ogniomurów, kominów, wyłazów dachowych, itp. należy zastosować izokliny dzięki którym papa nie ulegnie załamaniu.</w:t>
      </w:r>
    </w:p>
    <w:p w:rsidR="00EA17E9" w:rsidRDefault="00EA17E9" w:rsidP="00EA17E9">
      <w:pPr>
        <w:autoSpaceDE w:val="0"/>
        <w:autoSpaceDN w:val="0"/>
        <w:adjustRightInd w:val="0"/>
        <w:spacing w:after="0" w:line="240" w:lineRule="auto"/>
      </w:pPr>
      <w:r w:rsidRPr="00980C7F">
        <w:lastRenderedPageBreak/>
        <w:t xml:space="preserve">Wykonać nowe obróbki blacharskie </w:t>
      </w:r>
      <w:r>
        <w:t xml:space="preserve">z blachy stalowej ocynkowanej </w:t>
      </w:r>
      <w:r w:rsidRPr="00980C7F">
        <w:t>– pas nadrynnowy, pas podrynnowy (gzyms), wiatrownice, listwy dociskowe przy kominach</w:t>
      </w:r>
      <w:r>
        <w:t xml:space="preserve"> oraz obróbki pozostałych elementów na dachu zgodnie ze sztuką budowlaną</w:t>
      </w:r>
      <w:r w:rsidRPr="00980C7F">
        <w:t xml:space="preserve">. Nowe obróbki powinny wystawać poza lico ściany co najmniej 40mm poza lico ściany i muszą zabezpieczać elewację przed przeciekami wody deszczowej. Blachy należy łączyć na rąbek stojący. </w:t>
      </w:r>
    </w:p>
    <w:p w:rsidR="00EA17E9" w:rsidRPr="00650DB7" w:rsidRDefault="00EA17E9" w:rsidP="00EA17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50DB7">
        <w:rPr>
          <w:rFonts w:cs="Calibri"/>
        </w:rPr>
        <w:t xml:space="preserve">Na kominach wykonać obróbki blacharskie na wpust. Wykonać nacięcia pod kątem min. 50st. Listwy wykonać z blachy ocynkowanej, zagłębić górą w szczelinie tynku komina („wydra”).  Dolna krawędź obróbki musi posiadać okapnik. </w:t>
      </w:r>
    </w:p>
    <w:p w:rsidR="00EA17E9" w:rsidRPr="002949C5" w:rsidRDefault="00EA17E9" w:rsidP="00EA17E9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</w:p>
    <w:p w:rsidR="00EA17E9" w:rsidRPr="006A7EB8" w:rsidRDefault="00EA17E9" w:rsidP="00EA17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D99594"/>
        </w:rPr>
      </w:pPr>
      <w:r>
        <w:rPr>
          <w:rFonts w:cs="Calibri"/>
          <w:noProof/>
          <w:color w:val="FF0000"/>
          <w:lang w:eastAsia="pl-PL"/>
        </w:rPr>
        <w:drawing>
          <wp:inline distT="0" distB="0" distL="0" distR="0">
            <wp:extent cx="1037572" cy="1828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9" cy="18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E9" w:rsidRPr="006A7EB8" w:rsidRDefault="00EA17E9" w:rsidP="00EA17E9">
      <w:pPr>
        <w:autoSpaceDE w:val="0"/>
        <w:autoSpaceDN w:val="0"/>
        <w:adjustRightInd w:val="0"/>
        <w:spacing w:after="0" w:line="240" w:lineRule="auto"/>
        <w:rPr>
          <w:rFonts w:cs="Calibri"/>
          <w:color w:val="D99594"/>
        </w:rPr>
      </w:pPr>
    </w:p>
    <w:p w:rsidR="00EA17E9" w:rsidRDefault="00EA17E9" w:rsidP="00EA17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50DB7">
        <w:rPr>
          <w:rFonts w:cs="Calibri"/>
        </w:rPr>
        <w:t xml:space="preserve">Mocowanie listwy dociskowej na wkręty z uszczelką gumową (niedopuszczalne jest używanie kołków szybkiego  montażu). </w:t>
      </w:r>
      <w:r>
        <w:rPr>
          <w:rFonts w:cs="Calibri"/>
        </w:rPr>
        <w:t xml:space="preserve"> </w:t>
      </w:r>
      <w:r w:rsidRPr="00650DB7">
        <w:rPr>
          <w:rFonts w:cs="Calibri"/>
        </w:rPr>
        <w:t xml:space="preserve">Styki listew dociskowych z kominem uszczelnić uszczelniaczem trwaleplastycznym. </w:t>
      </w:r>
    </w:p>
    <w:p w:rsidR="00EA17E9" w:rsidRPr="00980C7F" w:rsidRDefault="00EA17E9" w:rsidP="00EA17E9">
      <w:pPr>
        <w:autoSpaceDE w:val="0"/>
        <w:autoSpaceDN w:val="0"/>
        <w:adjustRightInd w:val="0"/>
        <w:spacing w:after="0" w:line="240" w:lineRule="auto"/>
      </w:pPr>
    </w:p>
    <w:p w:rsidR="00EA17E9" w:rsidRDefault="00EA17E9" w:rsidP="00EA17E9">
      <w:r w:rsidRPr="00980C7F">
        <w:t>W ramach przeprowadzanej inwestycji należy wykonać nowy system odprowadzenia wód opadowych z dachu budynku. Zastosować rynny i rury spustowe wykonane z blachy stalowej ocynkowanej. Wykonawca na etapie projektowym zobowiązany jest właściwie dobrać przekroje, elementy mocujące, itp. systemu orynnowania</w:t>
      </w:r>
      <w:r>
        <w:t>,</w:t>
      </w:r>
      <w:r w:rsidRPr="00980C7F">
        <w:t xml:space="preserve"> aby zapewnić właściwe jego funkcjonowanie.</w:t>
      </w:r>
    </w:p>
    <w:p w:rsidR="00EA17E9" w:rsidRPr="00980C7F" w:rsidRDefault="00EA17E9" w:rsidP="00EA17E9">
      <w:pPr>
        <w:rPr>
          <w:u w:val="single"/>
        </w:rPr>
      </w:pPr>
    </w:p>
    <w:p w:rsidR="00EA17E9" w:rsidRPr="00980C7F" w:rsidRDefault="00EA17E9" w:rsidP="00EA17E9">
      <w:pPr>
        <w:rPr>
          <w:b/>
        </w:rPr>
      </w:pPr>
      <w:r w:rsidRPr="00980C7F">
        <w:rPr>
          <w:b/>
        </w:rPr>
        <w:t>Instalacja odgromowa</w:t>
      </w:r>
    </w:p>
    <w:p w:rsidR="00EA17E9" w:rsidRPr="00980C7F" w:rsidRDefault="00EA17E9" w:rsidP="00EA17E9">
      <w:r w:rsidRPr="00980C7F">
        <w:t>W obiekcie należy przewidzieć wykonanie instalacji odgromowej uziemiającej. Ochronę  od  wyładowań atmosferycznych  zrealizować w formie  zwodów poziomych  zlokalizowanych  na  dachu  oraz  iglic.  Wszystkie  urządzenia montowane  na  dachu  lub  wystające  elementy  budynku,  należy  chronić dodatkowymi zwodami pionowymi. Z instalacją odgromową na dachu połączyć wszystkie elementy metalowe typu rynny, opierzenia, rury spustowe itp.  Zwody  poziome  połączyć  z  uziemieniem  budynku  za  pomocą  zwodów.</w:t>
      </w:r>
    </w:p>
    <w:p w:rsidR="00EA17E9" w:rsidRPr="00980C7F" w:rsidRDefault="00EA17E9" w:rsidP="00EA17E9">
      <w:r w:rsidRPr="00980C7F">
        <w:t>Po zamontowaniu instalacji wykonać pomiary rezystancji uziemienia. Instalacja odgromowa powinna spełniać wymagania obowiązujących przepisów.</w:t>
      </w:r>
    </w:p>
    <w:p w:rsidR="00EA17E9" w:rsidRPr="00DB72A8" w:rsidRDefault="00EA17E9" w:rsidP="00EA17E9">
      <w:pPr>
        <w:rPr>
          <w:b/>
          <w:color w:val="D99594" w:themeColor="accent2" w:themeTint="99"/>
        </w:rPr>
      </w:pPr>
    </w:p>
    <w:p w:rsidR="00EA17E9" w:rsidRPr="00DB72A8" w:rsidRDefault="00EA17E9" w:rsidP="00EA17E9">
      <w:pPr>
        <w:rPr>
          <w:b/>
        </w:rPr>
      </w:pPr>
      <w:r w:rsidRPr="00DB72A8">
        <w:rPr>
          <w:b/>
        </w:rPr>
        <w:t>Wymiana stolarki zewnętrznej</w:t>
      </w:r>
    </w:p>
    <w:p w:rsidR="00EA17E9" w:rsidRPr="00A449A2" w:rsidRDefault="00EA17E9" w:rsidP="00EA17E9">
      <w:pPr>
        <w:spacing w:line="240" w:lineRule="auto"/>
      </w:pPr>
      <w:r w:rsidRPr="00A449A2">
        <w:lastRenderedPageBreak/>
        <w:t xml:space="preserve">Istniejący otwór po bramie wjazdowej zamurować, pozostawiając otwór do zamontowania drzwi wejściowych o wymiarach 120 x 200 cm. Wykonać nadproże drzwiowe. </w:t>
      </w:r>
    </w:p>
    <w:p w:rsidR="00EA17E9" w:rsidRPr="00A449A2" w:rsidRDefault="00EA17E9" w:rsidP="00EA17E9">
      <w:pPr>
        <w:spacing w:line="240" w:lineRule="auto"/>
      </w:pPr>
      <w:r w:rsidRPr="00A449A2">
        <w:t>Przed przystąpieniem do montażu stolarki należy sprawdzić wymiary otworów. Dla ścian murowanych odchyłki nie mogą wynosić więcej niż:</w:t>
      </w:r>
    </w:p>
    <w:p w:rsidR="00EA17E9" w:rsidRPr="00A449A2" w:rsidRDefault="00EA17E9" w:rsidP="00EA17E9">
      <w:pPr>
        <w:pStyle w:val="Akapitzlist"/>
        <w:numPr>
          <w:ilvl w:val="0"/>
          <w:numId w:val="18"/>
        </w:numPr>
        <w:spacing w:line="240" w:lineRule="auto"/>
      </w:pPr>
      <w:r w:rsidRPr="00A449A2">
        <w:t>szerokość - +10 mm</w:t>
      </w:r>
    </w:p>
    <w:p w:rsidR="00EA17E9" w:rsidRPr="00A449A2" w:rsidRDefault="00EA17E9" w:rsidP="00EA17E9">
      <w:pPr>
        <w:pStyle w:val="Akapitzlist"/>
        <w:numPr>
          <w:ilvl w:val="0"/>
          <w:numId w:val="18"/>
        </w:numPr>
        <w:spacing w:line="240" w:lineRule="auto"/>
      </w:pPr>
      <w:r w:rsidRPr="00A449A2">
        <w:t>wysokość - +10 mm</w:t>
      </w:r>
    </w:p>
    <w:p w:rsidR="00EA17E9" w:rsidRPr="00A449A2" w:rsidRDefault="00EA17E9" w:rsidP="00EA17E9">
      <w:pPr>
        <w:pStyle w:val="Akapitzlist"/>
        <w:numPr>
          <w:ilvl w:val="0"/>
          <w:numId w:val="18"/>
        </w:numPr>
        <w:spacing w:line="240" w:lineRule="auto"/>
      </w:pPr>
      <w:r w:rsidRPr="00A449A2">
        <w:t>dopuszczalna różnica długości przekątnych – 10 mm</w:t>
      </w:r>
    </w:p>
    <w:p w:rsidR="00EA17E9" w:rsidRPr="00A449A2" w:rsidRDefault="00EA17E9" w:rsidP="00EA17E9">
      <w:pPr>
        <w:spacing w:line="240" w:lineRule="auto"/>
      </w:pPr>
      <w:r w:rsidRPr="00A449A2">
        <w:t>.</w:t>
      </w:r>
    </w:p>
    <w:p w:rsidR="00DF02EF" w:rsidRPr="00C47085" w:rsidRDefault="00DF02EF" w:rsidP="00EA17E9">
      <w:pPr>
        <w:spacing w:line="240" w:lineRule="auto"/>
      </w:pPr>
      <w:r w:rsidRPr="00C47085">
        <w:rPr>
          <w:b/>
          <w:bCs/>
          <w:i/>
          <w:iCs/>
          <w:u w:val="single"/>
        </w:rPr>
        <w:t>Przed przystąpieniem do montażu stolarki należy sprawdzić jakość elementów i innych materiałów pomocniczych. Przy sprawdzaniu wyrobów należy przestrzegać zasad podanych w normie PN-88/B-10085 Stolarka budowlana. Okna i drzwi. oraz załączniku PN-88/B-10085/Az2:1997</w:t>
      </w:r>
      <w:r w:rsidR="00330A4C" w:rsidRPr="00C47085">
        <w:rPr>
          <w:b/>
          <w:bCs/>
          <w:i/>
          <w:iCs/>
          <w:u w:val="single"/>
        </w:rPr>
        <w:t xml:space="preserve"> lub przepisów równoważnych.</w:t>
      </w:r>
    </w:p>
    <w:p w:rsidR="00EA17E9" w:rsidRPr="00A449A2" w:rsidRDefault="00EA17E9" w:rsidP="00EA17E9">
      <w:pPr>
        <w:spacing w:line="240" w:lineRule="auto"/>
      </w:pPr>
      <w:r w:rsidRPr="00A449A2">
        <w:t>Drzwi wejściowe zamontować w miejscu po bramie wjazdowej. Zamontować nową stolarkę okienną o wymiarach jak istniejąca. Stolarkę przeznaczoną do wymiany oznaczono w części rysunkowej</w:t>
      </w:r>
      <w:r w:rsidR="00DF02EF">
        <w:t xml:space="preserve"> zał. 5 oraz zał. 6</w:t>
      </w:r>
      <w:r w:rsidRPr="00A449A2">
        <w:t xml:space="preserve">. </w:t>
      </w:r>
    </w:p>
    <w:p w:rsidR="00EA17E9" w:rsidRPr="00A449A2" w:rsidRDefault="00EA17E9" w:rsidP="00EA17E9">
      <w:r w:rsidRPr="00A449A2">
        <w:t>W ramach prac budowlanych związanych z wymianą stolarki okiennej należy wymienić parapety wewnętrzne i zewnętrzne. Parapety wewnętrzne wykonane z PCV. Parapet powinien być osadzony na podkładzie wyrównanej zaprawy po uszczelnieniu okna w ościeżu, ze spadkiem w kierunku pomieszczenia. Parapet powinien być podsunięty pod próg okna, co umożliwia cofnięty od płaszczyzny ościeżnicy kształtownik podprogowy. Grubość parapetu należy dobrać w zależności od wysięgu parapetu poza lico ściany i wytrzymałości materiału, aby zapewnić właściwą wytrzymałość zamontowanego elementu.</w:t>
      </w:r>
    </w:p>
    <w:p w:rsidR="00EA17E9" w:rsidRPr="00A449A2" w:rsidRDefault="00EA17E9" w:rsidP="00EA17E9">
      <w:r w:rsidRPr="00A449A2">
        <w:t xml:space="preserve">Parapety zewnętrzne wykonać z blachy stalowej ocynkowanej. Parapety zewnętrzne muszą wystawać co najmniej 40mm poza lico ściany i muszą zabezpieczać elewację przed przeciekami wody deszczowej. </w:t>
      </w:r>
    </w:p>
    <w:p w:rsidR="00EA17E9" w:rsidRPr="00A449A2" w:rsidRDefault="00EA17E9" w:rsidP="00EA17E9">
      <w:r w:rsidRPr="00A449A2">
        <w:t>Po prowadzonych robotach należy zaplanować wykonanie obróbek tynkarskich ubytków powstałych w czasie prowadzonych robót oraz wykonać tynk w miejscu zamurowanego otworu po bramie wjazdowej. Wykonać powłoki malarskie. Kolor dopasować do istniejącego. Wykonawca robót zobowiązany jest co najmniej do przywrócenia stanu pierwotnego, sprzed rozpoczęcia prowadzenia robót budowlanych.</w:t>
      </w:r>
    </w:p>
    <w:p w:rsidR="00EA17E9" w:rsidRPr="00E5784E" w:rsidRDefault="00EA17E9" w:rsidP="00EA17E9"/>
    <w:p w:rsidR="00EA17E9" w:rsidRPr="00E5784E" w:rsidRDefault="00EA17E9" w:rsidP="00EA17E9">
      <w:pPr>
        <w:pStyle w:val="Nagwek4"/>
      </w:pPr>
      <w:bookmarkStart w:id="29" w:name="_Toc81403448"/>
      <w:bookmarkStart w:id="30" w:name="_Toc81468178"/>
      <w:r w:rsidRPr="00E5784E">
        <w:t>Działania związane z kontrolą, badaniami oraz odbiorem wyrobów i robót budowlanych</w:t>
      </w:r>
      <w:bookmarkEnd w:id="29"/>
      <w:bookmarkEnd w:id="30"/>
    </w:p>
    <w:p w:rsidR="00EA17E9" w:rsidRPr="00E5784E" w:rsidRDefault="00EA17E9" w:rsidP="00EA17E9">
      <w:r w:rsidRPr="00E5784E">
        <w:t>Pomiary i badania materiałów Wykonawca powinien prowadzić zgodnie z warunkami szczegółowymi oraz obowiązującymi normami. Wszystkie koszty związane z organizowaniem i prowadzeniem tych badań ponosi Wykonawca.</w:t>
      </w:r>
    </w:p>
    <w:p w:rsidR="00EA17E9" w:rsidRPr="00E5784E" w:rsidRDefault="00EA17E9" w:rsidP="00EA17E9">
      <w:r w:rsidRPr="00E5784E">
        <w:lastRenderedPageBreak/>
        <w:t>Upoważniony</w:t>
      </w:r>
      <w:r>
        <w:t xml:space="preserve"> </w:t>
      </w:r>
      <w:r w:rsidRPr="00E5784E">
        <w:t>pracownik</w:t>
      </w:r>
      <w:r>
        <w:t xml:space="preserve"> </w:t>
      </w:r>
      <w:r w:rsidRPr="00E5784E">
        <w:t>Zamawiającego</w:t>
      </w:r>
      <w:r>
        <w:t xml:space="preserve"> </w:t>
      </w:r>
      <w:r w:rsidRPr="00E5784E">
        <w:t>może</w:t>
      </w:r>
      <w:r>
        <w:t xml:space="preserve"> </w:t>
      </w:r>
      <w:r w:rsidRPr="00E5784E">
        <w:t>dokonywać</w:t>
      </w:r>
      <w:r>
        <w:t xml:space="preserve"> </w:t>
      </w:r>
      <w:r w:rsidRPr="00E5784E">
        <w:t>kontroli,</w:t>
      </w:r>
      <w:r>
        <w:t xml:space="preserve"> </w:t>
      </w:r>
      <w:r w:rsidRPr="00E5784E">
        <w:t>a</w:t>
      </w:r>
      <w:r>
        <w:t xml:space="preserve"> </w:t>
      </w:r>
      <w:r w:rsidRPr="00E5784E">
        <w:t>Wykonawca</w:t>
      </w:r>
      <w:r>
        <w:t xml:space="preserve"> </w:t>
      </w:r>
      <w:r w:rsidRPr="00E5784E">
        <w:t>jest zobowiązany do zapewnienia wszelkiej niezbędnej pomocy w tych czynnościach.</w:t>
      </w:r>
    </w:p>
    <w:p w:rsidR="004309C7" w:rsidRDefault="004309C7" w:rsidP="00EA17E9"/>
    <w:p w:rsidR="00EA17E9" w:rsidRPr="00E5784E" w:rsidRDefault="00EA17E9" w:rsidP="00EA17E9">
      <w:r w:rsidRPr="00E5784E">
        <w:t>Kontroli Zamawiającego będą podlegać m.in.:</w:t>
      </w:r>
    </w:p>
    <w:p w:rsidR="00EA17E9" w:rsidRPr="00E5784E" w:rsidRDefault="00EA17E9" w:rsidP="00EA17E9">
      <w:pPr>
        <w:pStyle w:val="Akapitzlist"/>
        <w:numPr>
          <w:ilvl w:val="0"/>
          <w:numId w:val="8"/>
        </w:numPr>
      </w:pPr>
      <w:r w:rsidRPr="00E5784E">
        <w:t xml:space="preserve">rozwiązania projektowe zawarte w dokumentacji projektowej, w tym projektach wykonawczych i STWiORB </w:t>
      </w:r>
    </w:p>
    <w:p w:rsidR="00EA17E9" w:rsidRPr="00E5784E" w:rsidRDefault="00EA17E9" w:rsidP="00EA17E9">
      <w:pPr>
        <w:pStyle w:val="Akapitzlist"/>
        <w:numPr>
          <w:ilvl w:val="0"/>
          <w:numId w:val="8"/>
        </w:numPr>
      </w:pPr>
      <w:r w:rsidRPr="00E5784E">
        <w:t xml:space="preserve">stosowane materiały </w:t>
      </w:r>
    </w:p>
    <w:p w:rsidR="00EA17E9" w:rsidRPr="00E5784E" w:rsidRDefault="00EA17E9" w:rsidP="00EA17E9">
      <w:pPr>
        <w:pStyle w:val="Akapitzlist"/>
        <w:numPr>
          <w:ilvl w:val="0"/>
          <w:numId w:val="8"/>
        </w:numPr>
      </w:pPr>
      <w:r w:rsidRPr="00E5784E">
        <w:t xml:space="preserve">wyroby budowlane lub elementy wytworzone na budowie </w:t>
      </w:r>
    </w:p>
    <w:p w:rsidR="00EA17E9" w:rsidRPr="00E5784E" w:rsidRDefault="00EA17E9" w:rsidP="00EA17E9">
      <w:pPr>
        <w:pStyle w:val="Akapitzlist"/>
        <w:numPr>
          <w:ilvl w:val="0"/>
          <w:numId w:val="8"/>
        </w:numPr>
      </w:pPr>
      <w:r w:rsidRPr="00E5784E">
        <w:t>sposób wykonania robót budowlanych.</w:t>
      </w:r>
    </w:p>
    <w:p w:rsidR="00EA17E9" w:rsidRPr="00E5784E" w:rsidRDefault="00EA17E9" w:rsidP="00EA17E9">
      <w:r w:rsidRPr="00E5784E">
        <w:t xml:space="preserve">Rozwiązanie projektowe powinny być zgodne z PFU i warunkami umowy zawartej z Wykonawcą. </w:t>
      </w:r>
    </w:p>
    <w:p w:rsidR="00EA17E9" w:rsidRPr="00E5784E" w:rsidRDefault="00EA17E9" w:rsidP="00EA17E9">
      <w:r w:rsidRPr="00E5784E">
        <w:t>Stosowane materiały powinny być dopuszczone do obrotu, a ich parametry zgodne z danymi zawartymi w dokumentacji projektowej. Materiały powinny posiadać:</w:t>
      </w:r>
    </w:p>
    <w:p w:rsidR="00EA17E9" w:rsidRPr="00E5784E" w:rsidRDefault="00EA17E9" w:rsidP="00EA17E9">
      <w:pPr>
        <w:pStyle w:val="Akapitzlist"/>
        <w:numPr>
          <w:ilvl w:val="0"/>
          <w:numId w:val="14"/>
        </w:numPr>
      </w:pPr>
      <w:r w:rsidRPr="00E5784E">
        <w:t>w zakresie gotowych elementów:</w:t>
      </w:r>
    </w:p>
    <w:p w:rsidR="00EA17E9" w:rsidRPr="00E5784E" w:rsidRDefault="00EA17E9" w:rsidP="00EA17E9">
      <w:pPr>
        <w:pStyle w:val="Akapitzlist"/>
        <w:numPr>
          <w:ilvl w:val="1"/>
          <w:numId w:val="14"/>
        </w:numPr>
      </w:pPr>
      <w:r w:rsidRPr="00E5784E">
        <w:t xml:space="preserve">aprobatę techniczną, </w:t>
      </w:r>
    </w:p>
    <w:p w:rsidR="00EA17E9" w:rsidRPr="00E5784E" w:rsidRDefault="00EA17E9" w:rsidP="00EA17E9">
      <w:pPr>
        <w:pStyle w:val="Akapitzlist"/>
        <w:numPr>
          <w:ilvl w:val="1"/>
          <w:numId w:val="14"/>
        </w:numPr>
      </w:pPr>
      <w:r w:rsidRPr="00E5784E">
        <w:t xml:space="preserve">certyfikat zgodności lub deklarację zgodności dostawcy oraz ewentualne wyniki badań cech charakterystycznych, w przypadku żądania ich przez Inwestora, </w:t>
      </w:r>
    </w:p>
    <w:p w:rsidR="00EA17E9" w:rsidRPr="00E5784E" w:rsidRDefault="00EA17E9" w:rsidP="00EA17E9">
      <w:pPr>
        <w:pStyle w:val="Akapitzlist"/>
        <w:numPr>
          <w:ilvl w:val="1"/>
          <w:numId w:val="14"/>
        </w:numPr>
      </w:pPr>
      <w:r w:rsidRPr="00E5784E">
        <w:t xml:space="preserve">wyniki sprawdzenia przez Wykonawcę cech zewnętrznych elementów </w:t>
      </w:r>
    </w:p>
    <w:p w:rsidR="00EA17E9" w:rsidRPr="00E5784E" w:rsidRDefault="00EA17E9" w:rsidP="00EA17E9">
      <w:pPr>
        <w:pStyle w:val="Akapitzlist"/>
        <w:numPr>
          <w:ilvl w:val="0"/>
          <w:numId w:val="14"/>
        </w:numPr>
      </w:pPr>
      <w:r w:rsidRPr="00E5784E">
        <w:t xml:space="preserve">w zakresie innych materiałów </w:t>
      </w:r>
    </w:p>
    <w:p w:rsidR="00EA17E9" w:rsidRPr="00E5784E" w:rsidRDefault="00EA17E9" w:rsidP="00EA17E9">
      <w:pPr>
        <w:pStyle w:val="Akapitzlist"/>
        <w:numPr>
          <w:ilvl w:val="1"/>
          <w:numId w:val="14"/>
        </w:numPr>
      </w:pPr>
      <w:r w:rsidRPr="00E5784E">
        <w:t xml:space="preserve">ewentualne badania właściwości kruszyw, piasku, wody, itp. określone w normach </w:t>
      </w:r>
    </w:p>
    <w:p w:rsidR="00EA17E9" w:rsidRPr="00E5784E" w:rsidRDefault="00EA17E9" w:rsidP="00EA17E9">
      <w:r w:rsidRPr="00E5784E">
        <w:t>Wszystkie dokumenty oraz wyniki badań Wykonawca przedstawia Inwestorowi do akceptacji.</w:t>
      </w:r>
    </w:p>
    <w:p w:rsidR="00EA17E9" w:rsidRPr="00E5784E" w:rsidRDefault="00EA17E9" w:rsidP="00EA17E9">
      <w:r w:rsidRPr="00E5784E">
        <w:t>Wyroby budowlane lub elementy wytworzone na budowie powinny posiadać parametry zgodne z danymi zawartymi w dokumentacji projektowej.</w:t>
      </w:r>
    </w:p>
    <w:p w:rsidR="00EA17E9" w:rsidRPr="00E5784E" w:rsidRDefault="00EA17E9" w:rsidP="00EA17E9">
      <w:r w:rsidRPr="00E5784E">
        <w:t>Sposób wykonania robót budowlanych powinien być zgodny z dokumentacją projektową, PFU i warunkami umowy.</w:t>
      </w:r>
    </w:p>
    <w:p w:rsidR="00EA17E9" w:rsidRDefault="00EA17E9" w:rsidP="00EA17E9">
      <w:pPr>
        <w:spacing w:line="240" w:lineRule="auto"/>
      </w:pPr>
    </w:p>
    <w:p w:rsidR="00EA17E9" w:rsidRPr="00E5784E" w:rsidRDefault="00EA17E9" w:rsidP="00EA17E9">
      <w:pPr>
        <w:pStyle w:val="Nagwek4"/>
      </w:pPr>
      <w:bookmarkStart w:id="31" w:name="_Toc81403449"/>
      <w:bookmarkStart w:id="32" w:name="_Toc81468179"/>
      <w:r w:rsidRPr="00E5784E">
        <w:t>Wymagania dotyczące przedmiaru i obmiaru robót</w:t>
      </w:r>
      <w:bookmarkEnd w:id="31"/>
      <w:bookmarkEnd w:id="32"/>
    </w:p>
    <w:p w:rsidR="00EA17E9" w:rsidRPr="00E5784E" w:rsidRDefault="00EA17E9" w:rsidP="00EA17E9">
      <w:r w:rsidRPr="00E5784E">
        <w:t xml:space="preserve">Obmiar robót będzie określać faktyczny zakres wykonywanych robót zgodnie z </w:t>
      </w:r>
      <w:r w:rsidRPr="00E5784E">
        <w:br/>
        <w:t xml:space="preserve">Dokumentacją Projektową i STWiORB, w jednostkach ustalonych w Przedmiarze Robót. </w:t>
      </w:r>
    </w:p>
    <w:p w:rsidR="00EA17E9" w:rsidRPr="00E5784E" w:rsidRDefault="00EA17E9" w:rsidP="00EA17E9">
      <w:r w:rsidRPr="00E5784E">
        <w:lastRenderedPageBreak/>
        <w:t xml:space="preserve">Wszystkie urządzenia i sprzęt pomiarowy, stosowany w czasie obmiaru robót będą </w:t>
      </w:r>
      <w:r w:rsidRPr="00E5784E">
        <w:br/>
        <w:t>zaakceptowane przez Zamawiającego.</w:t>
      </w:r>
      <w:r>
        <w:t xml:space="preserve"> </w:t>
      </w:r>
      <w:r w:rsidRPr="00E5784E">
        <w:t>Urządzenia i sprzęt pomiarowy zostaną dostarczone przez Wykonawcę. Jeżeli urządzenia lub sprzęt pomiarowy wymagają badań atestujących, Wykonawca musi posiadać ważne świadectwa legalizacji. Wszystkie urządzenia pomiarowe będą przez Wykonawcę utrzymywane w dobrym stanie, w całym okresie trwania robót.</w:t>
      </w:r>
    </w:p>
    <w:p w:rsidR="00EA17E9" w:rsidRPr="00E5784E" w:rsidRDefault="00EA17E9" w:rsidP="00EA17E9">
      <w:pPr>
        <w:pStyle w:val="Nagwek4"/>
      </w:pPr>
      <w:bookmarkStart w:id="33" w:name="_Toc81403450"/>
      <w:bookmarkStart w:id="34" w:name="_Toc81468180"/>
      <w:r w:rsidRPr="00E5784E">
        <w:t>Sposób odbioru robót budowlanych</w:t>
      </w:r>
      <w:bookmarkEnd w:id="33"/>
      <w:bookmarkEnd w:id="34"/>
    </w:p>
    <w:p w:rsidR="00EA17E9" w:rsidRPr="00E5784E" w:rsidRDefault="00EA17E9" w:rsidP="00EA17E9">
      <w:r w:rsidRPr="00E5784E">
        <w:t>Roboty podlegają następującym etapom odbioru, dokonywanym przez Inspektora nadzoru przy udziale Wykonawcy:</w:t>
      </w:r>
    </w:p>
    <w:p w:rsidR="00EA17E9" w:rsidRPr="00E5784E" w:rsidRDefault="00EA17E9" w:rsidP="00EA17E9">
      <w:pPr>
        <w:pStyle w:val="Akapitzlist"/>
        <w:numPr>
          <w:ilvl w:val="0"/>
          <w:numId w:val="9"/>
        </w:numPr>
      </w:pPr>
      <w:r w:rsidRPr="00E5784E">
        <w:t>odbiór robót zanikających i ulegających zakryciu,</w:t>
      </w:r>
    </w:p>
    <w:p w:rsidR="00EA17E9" w:rsidRPr="00E5784E" w:rsidRDefault="00EA17E9" w:rsidP="00EA17E9">
      <w:pPr>
        <w:pStyle w:val="Akapitzlist"/>
        <w:numPr>
          <w:ilvl w:val="0"/>
          <w:numId w:val="9"/>
        </w:numPr>
      </w:pPr>
      <w:r w:rsidRPr="00E5784E">
        <w:t>odbiór częściowy,</w:t>
      </w:r>
    </w:p>
    <w:p w:rsidR="00EA17E9" w:rsidRPr="00E5784E" w:rsidRDefault="00EA17E9" w:rsidP="00EA17E9">
      <w:pPr>
        <w:pStyle w:val="Akapitzlist"/>
        <w:numPr>
          <w:ilvl w:val="0"/>
          <w:numId w:val="9"/>
        </w:numPr>
      </w:pPr>
      <w:r w:rsidRPr="00E5784E">
        <w:t>odbiór końcowy.</w:t>
      </w:r>
    </w:p>
    <w:p w:rsidR="00EA17E9" w:rsidRPr="00E5784E" w:rsidRDefault="00DF02EF" w:rsidP="00EA17E9">
      <w:r w:rsidRPr="00DF02EF">
        <w:t>Roboty uznaje się za wykonane zgodnie z Dokumentacją Projektową, STWiORB i wymaganiami Inwestora, jeżeli pomiary i badania przeprowadzone zgodnie z odpowiednimi normami (m.in. PN-88/B-10085 oraz PN-88/B-10085</w:t>
      </w:r>
      <w:r>
        <w:t>/Az2:1997 - Stolarka budowlana - Okna i drzwi -</w:t>
      </w:r>
      <w:r w:rsidRPr="00DF02EF">
        <w:t xml:space="preserve"> Wymagania i badania, PN-B-10240:1980 - Pokrycia dachowe z papy i powłok asfaltowych - Wymagania i badania przy odbiorze, PN-B-02361:2010 - Pochylenia połaci dachowych</w:t>
      </w:r>
      <w:r w:rsidR="00330A4C">
        <w:t xml:space="preserve"> lub przepisami równoważnymi</w:t>
      </w:r>
      <w:r w:rsidRPr="00DF02EF">
        <w:t>) dały wyniki pozytywne</w:t>
      </w:r>
      <w:r>
        <w:t>.</w:t>
      </w:r>
    </w:p>
    <w:p w:rsidR="00EA17E9" w:rsidRPr="00E5784E" w:rsidRDefault="00EA17E9" w:rsidP="00EA17E9">
      <w:pPr>
        <w:pStyle w:val="Nagwek4"/>
      </w:pPr>
      <w:bookmarkStart w:id="35" w:name="_Toc81403451"/>
      <w:bookmarkStart w:id="36" w:name="_Toc81468181"/>
      <w:r w:rsidRPr="00E5784E">
        <w:t>Sposób rozliczenia robót tymczasowych i towarzyszących</w:t>
      </w:r>
      <w:bookmarkEnd w:id="35"/>
      <w:bookmarkEnd w:id="36"/>
    </w:p>
    <w:p w:rsidR="00EA17E9" w:rsidRPr="00E5784E" w:rsidRDefault="00EA17E9" w:rsidP="00EA17E9">
      <w:r w:rsidRPr="00E5784E">
        <w:t>Zamawiający ustanawia wynagrodzenie ryczałtowe zamówienia – wynika to z przyjętego trybu wyboru wykonawcy prac projektowych i robót budowlanych. Etapowanie płatności będzie wynikało z zapisów dokumentacji projektowej i harmonogramu rzeczowo-finansowego. Wykonawca opracuje harmonogram rzeczowo-finansowy i przedłoży Zamawiającemu do akceptacji.</w:t>
      </w:r>
    </w:p>
    <w:p w:rsidR="00EA17E9" w:rsidRPr="00E5784E" w:rsidRDefault="00EA17E9" w:rsidP="00EA17E9">
      <w:r w:rsidRPr="00E5784E">
        <w:t>W cenie całkowitej dokumentacji projektowej Wykonawca uwzględni wszystkie koszty prac projektowych, prowadzących do uzyskania wszystkich uzgodnień, decyzji i wykonania badań niezbędnych do prawidłowego i kompletnego opracowania dokumentacji projektowej.</w:t>
      </w:r>
    </w:p>
    <w:p w:rsidR="00EA17E9" w:rsidRPr="00E5784E" w:rsidRDefault="00EA17E9" w:rsidP="00EA17E9">
      <w:r w:rsidRPr="00E5784E">
        <w:t xml:space="preserve">W cenie całkowitej inwestycji Wykonawca uwzględni wszystkie koszty robót budowlanych wielobranżowych i wyposażenia, które umożliwią zrealizowanie w pełni przedmiotowego zadania inwestycyjnego. Cena ryczałtowa będzie uwzględniała wykonanie robót tymczasowych i towarzyszących. Program funkcjonalno-użytkowy jest opracowaniem przedprojektowym, tym samym nie rości sobie pretensji do miana opracowania wyczerpującego i Wykonawca winien to wziąć pod uwagę przy wykonywaniu projektów. </w:t>
      </w:r>
    </w:p>
    <w:p w:rsidR="00EA17E9" w:rsidRPr="00E5784E" w:rsidRDefault="00EA17E9" w:rsidP="00EA17E9">
      <w:r w:rsidRPr="00E5784E">
        <w:t>Wykonawca nie może wykorzystywać błędów lub opuszczeń, a w przypadku ich wykrycia winien natychmiast powiadomić Inwestora, który dokona odpowiednich poprawek, uzupełnień lub interpretacji.</w:t>
      </w:r>
    </w:p>
    <w:p w:rsidR="006317AB" w:rsidRPr="00E5784E" w:rsidRDefault="006317AB" w:rsidP="00AB30D8"/>
    <w:p w:rsidR="00C55287" w:rsidRPr="00E5784E" w:rsidRDefault="00C55287" w:rsidP="00C55287"/>
    <w:p w:rsidR="00C55287" w:rsidRPr="00E5784E" w:rsidRDefault="00C55287" w:rsidP="00C55287"/>
    <w:p w:rsidR="00CD6CD1" w:rsidRPr="00E5784E" w:rsidRDefault="00CD6CD1" w:rsidP="00CD6CD1">
      <w:pPr>
        <w:pStyle w:val="Nagwek1"/>
      </w:pPr>
      <w:bookmarkStart w:id="37" w:name="_Toc72400325"/>
      <w:bookmarkStart w:id="38" w:name="_Toc81468182"/>
      <w:r w:rsidRPr="00E5784E">
        <w:t>CZĘŚĆ INFORMACYJNA</w:t>
      </w:r>
      <w:bookmarkEnd w:id="37"/>
      <w:bookmarkEnd w:id="38"/>
    </w:p>
    <w:p w:rsidR="00EA17E9" w:rsidRPr="00A85811" w:rsidRDefault="00EA17E9" w:rsidP="00EA17E9">
      <w:pPr>
        <w:pStyle w:val="Nagwek2"/>
        <w:ind w:left="709"/>
      </w:pPr>
      <w:bookmarkStart w:id="39" w:name="_Toc81403453"/>
      <w:bookmarkStart w:id="40" w:name="_Toc81468183"/>
      <w:r w:rsidRPr="00A85811">
        <w:t>Oświadczenie Zamawiającego stwierdzające prawo do dysponowania nieruchomością na cele budowlane.</w:t>
      </w:r>
      <w:bookmarkEnd w:id="39"/>
      <w:bookmarkEnd w:id="40"/>
    </w:p>
    <w:p w:rsidR="00EA17E9" w:rsidRPr="00963B65" w:rsidRDefault="00EA17E9" w:rsidP="00EA17E9">
      <w:pPr>
        <w:rPr>
          <w:color w:val="D99594" w:themeColor="accent2" w:themeTint="99"/>
        </w:rPr>
      </w:pPr>
      <w:r w:rsidRPr="00A85811">
        <w:t>Zamawiający oświadcza, że przebudowywany obiekt jest w zarządzie Zamawiającego, z którego wynika uprawnienie do wykonywania robót budowlanych w obiekcie</w:t>
      </w:r>
      <w:r w:rsidRPr="00963B65">
        <w:rPr>
          <w:color w:val="D99594" w:themeColor="accent2" w:themeTint="99"/>
        </w:rPr>
        <w:t xml:space="preserve">. </w:t>
      </w:r>
    </w:p>
    <w:p w:rsidR="00EA17E9" w:rsidRPr="00963B65" w:rsidRDefault="00EA17E9" w:rsidP="00EA17E9">
      <w:pPr>
        <w:pStyle w:val="Nagwek2"/>
        <w:ind w:left="709"/>
      </w:pPr>
      <w:bookmarkStart w:id="41" w:name="_Toc81403454"/>
      <w:bookmarkStart w:id="42" w:name="_Toc81468184"/>
      <w:r w:rsidRPr="00963B65">
        <w:t>Przepisy prawne związane z projektowaniem i wykonaniem zamierzenia budowlanego</w:t>
      </w:r>
      <w:bookmarkEnd w:id="41"/>
      <w:bookmarkEnd w:id="42"/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  <w:shd w:val="clear" w:color="auto" w:fill="FFFFFF"/>
        </w:rPr>
        <w:t>Ustawa z dnia 7 lipca 1994 r. Prawo budowlane (t.j. Dz. U. z 2021 r. poz. 2351 z późn. zm.).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  <w:shd w:val="clear" w:color="auto" w:fill="FFFFFF"/>
        </w:rPr>
        <w:t>Rozporządzenie Ministra Infrastruktury z dnia 12 kwietnia 2002 r. w sprawie warunków technicznych, jakim powinny odpowiadać budynki i ich usytuowanie (t.j. Dz. U. z 2022 r. poz. 1225).</w:t>
      </w:r>
      <w:r w:rsidRPr="00C47085">
        <w:rPr>
          <w:rStyle w:val="Odwoaniedokomentarza"/>
          <w:rFonts w:cstheme="minorHAnsi"/>
          <w:sz w:val="24"/>
          <w:szCs w:val="24"/>
        </w:rPr>
        <w:t xml:space="preserve"> 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</w:rPr>
        <w:t>Rozporządzenie Ministra Rozwoju w sprawie szczegółowego zakresu i formy projektu budowlanego z dnia 11 września 2020r. (Dz. U. 2020 poz. 1609 z późn. zm.).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  <w:shd w:val="clear" w:color="auto" w:fill="FFFFFF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 U. poz. 2454).</w:t>
      </w:r>
      <w:r w:rsidRPr="00C47085">
        <w:rPr>
          <w:rStyle w:val="Odwoaniedokomentarza"/>
          <w:rFonts w:cstheme="minorHAnsi"/>
          <w:sz w:val="24"/>
          <w:szCs w:val="24"/>
        </w:rPr>
        <w:t xml:space="preserve"> 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  <w:shd w:val="clear" w:color="auto" w:fill="FFFFFF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2458).</w:t>
      </w:r>
      <w:r w:rsidRPr="00C47085">
        <w:rPr>
          <w:rStyle w:val="Odwoaniedokomentarza"/>
          <w:rFonts w:cstheme="minorHAnsi"/>
          <w:sz w:val="24"/>
          <w:szCs w:val="24"/>
        </w:rPr>
        <w:t xml:space="preserve"> 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  <w:shd w:val="clear" w:color="auto" w:fill="FFFFFF"/>
        </w:rPr>
        <w:t>Ustawa z dnia 11 września 2019 r. - Prawo zamówień publicznych (t.j. Dz. U. z 2021 r. poz. 1129 z późn. zm.).</w:t>
      </w:r>
      <w:r w:rsidRPr="00C47085">
        <w:rPr>
          <w:rFonts w:cstheme="minorHAnsi"/>
        </w:rPr>
        <w:t xml:space="preserve"> 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</w:rPr>
        <w:t>Rozporządzenie Ministra Infrastruktury z dnia 6 lutego 2003r. w sprawie bezpieczeństwa i higieny pracy podczas wykonywania robót budowlanych (Dz. U. 2003 nr 47 poz. 401).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</w:rPr>
        <w:t>Rozporządzenie Ministra Spraw Wewnętrznych i Administracji z dnia 7 czerwca 2010r. w sprawie ochrony przeciwpożarowej budynków, innych obiektów budowlanych i terenów (Dz. U. 2010 nr 109 poz. 719 z późn. zm.).</w:t>
      </w:r>
    </w:p>
    <w:p w:rsidR="00330A4C" w:rsidRPr="00C47085" w:rsidRDefault="00330A4C" w:rsidP="00330A4C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C47085">
        <w:rPr>
          <w:sz w:val="24"/>
          <w:szCs w:val="24"/>
        </w:rPr>
        <w:t>Rozporządzenie Ministra Infrastruktury z dnia 6 lutego 2003 r. w sprawie bezpieczeństwa i higieny pracy podczas wykonywania robót budowlanych (Dz.U. 2003 nr 47 poz. 401 z późn. zm.)</w:t>
      </w:r>
      <w:r w:rsidR="001C2D05" w:rsidRPr="00C47085">
        <w:rPr>
          <w:sz w:val="24"/>
          <w:szCs w:val="24"/>
        </w:rPr>
        <w:t>.</w:t>
      </w:r>
    </w:p>
    <w:p w:rsidR="00330A4C" w:rsidRPr="00C47085" w:rsidRDefault="00330A4C" w:rsidP="00AF35C5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C47085">
        <w:rPr>
          <w:sz w:val="24"/>
          <w:szCs w:val="24"/>
        </w:rPr>
        <w:lastRenderedPageBreak/>
        <w:t>Rozporządzenie Ministra Infrastruktury i Rozwoju z dnia 27 lutego 2015 r. w sprawie metodologii wyznaczania charakterystyki energetycznej budynku lub części budynku oraz świadectw charakterystyki energetycznej (Dz.U. 2015 poz. 376 z późn. zm.)</w:t>
      </w:r>
      <w:r w:rsidR="001C2D05" w:rsidRPr="00C47085">
        <w:rPr>
          <w:sz w:val="24"/>
          <w:szCs w:val="24"/>
        </w:rPr>
        <w:t>.</w:t>
      </w:r>
    </w:p>
    <w:p w:rsidR="00330A4C" w:rsidRPr="00C47085" w:rsidRDefault="00330A4C" w:rsidP="00330A4C">
      <w:pPr>
        <w:pStyle w:val="Akapitzlist"/>
        <w:numPr>
          <w:ilvl w:val="0"/>
          <w:numId w:val="1"/>
        </w:numPr>
        <w:rPr>
          <w:rFonts w:cstheme="minorHAnsi"/>
        </w:rPr>
      </w:pPr>
      <w:r w:rsidRPr="00C47085">
        <w:rPr>
          <w:rFonts w:cstheme="minorHAnsi"/>
        </w:rPr>
        <w:t>inne ustawy i rozporządzenia, przepisy techniczno-budowlane, Polskie Normy przywołane w nini</w:t>
      </w:r>
      <w:r w:rsidR="001C2D05" w:rsidRPr="00C47085">
        <w:rPr>
          <w:rFonts w:cstheme="minorHAnsi"/>
        </w:rPr>
        <w:t>ejszym Programie funkcjonalno uż</w:t>
      </w:r>
      <w:r w:rsidRPr="00C47085">
        <w:rPr>
          <w:rFonts w:cstheme="minorHAnsi"/>
        </w:rPr>
        <w:t xml:space="preserve">ytkowym, </w:t>
      </w:r>
      <w:r w:rsidR="00D1503C" w:rsidRPr="00C47085">
        <w:rPr>
          <w:rFonts w:cstheme="minorHAnsi"/>
        </w:rPr>
        <w:t xml:space="preserve"> w tym w szczególności  norm</w:t>
      </w:r>
      <w:r w:rsidR="00BB453B" w:rsidRPr="00C47085">
        <w:rPr>
          <w:rFonts w:cstheme="minorHAnsi"/>
        </w:rPr>
        <w:t>y</w:t>
      </w:r>
      <w:r w:rsidR="00D1503C" w:rsidRPr="00C47085">
        <w:rPr>
          <w:rFonts w:cstheme="minorHAnsi"/>
        </w:rPr>
        <w:t xml:space="preserve"> </w:t>
      </w:r>
      <w:r w:rsidR="008827F8" w:rsidRPr="00C47085">
        <w:rPr>
          <w:rFonts w:cstheme="minorHAnsi"/>
        </w:rPr>
        <w:t>PN-EN-13501-5, PN-EN</w:t>
      </w:r>
      <w:r w:rsidR="008726F6" w:rsidRPr="00C47085">
        <w:rPr>
          <w:rFonts w:cstheme="minorHAnsi"/>
        </w:rPr>
        <w:t xml:space="preserve"> 13501-2-2005</w:t>
      </w:r>
      <w:r w:rsidR="00BB453B" w:rsidRPr="00C47085">
        <w:rPr>
          <w:rFonts w:cstheme="minorHAnsi"/>
        </w:rPr>
        <w:t>, a także</w:t>
      </w:r>
      <w:r w:rsidRPr="00C47085">
        <w:rPr>
          <w:rFonts w:cstheme="minorHAnsi"/>
        </w:rPr>
        <w:t xml:space="preserve"> zgodnie z zasadami wiedzy technicznej i sztuki budowlanej.</w:t>
      </w:r>
    </w:p>
    <w:p w:rsidR="00EA17E9" w:rsidRPr="00C47085" w:rsidRDefault="00EA17E9" w:rsidP="00EA17E9">
      <w:r w:rsidRPr="00C47085">
        <w:t>Wykonawca na bieżąco winien uwzględniać zmiany rozporządzeń, ustaw, przepisów oraz uwzględniać je w opracowywaniu dokumentacji projektowej oraz podczas prowadzenia robot.</w:t>
      </w:r>
    </w:p>
    <w:p w:rsidR="00EA17E9" w:rsidRPr="00C47085" w:rsidRDefault="00EA17E9" w:rsidP="00EA17E9">
      <w:r w:rsidRPr="00C47085">
        <w:t xml:space="preserve"> Wykonawca wszystkie dokumenty objęte przedmiotem zamówienia opracuje zgodnie z obowiązującymi przepisami prawa na dzień przekazania dokumentacji.</w:t>
      </w:r>
    </w:p>
    <w:p w:rsidR="00EA17E9" w:rsidRPr="00C47085" w:rsidRDefault="00EA17E9" w:rsidP="00EA17E9">
      <w:pPr>
        <w:jc w:val="left"/>
      </w:pPr>
      <w:r w:rsidRPr="00C47085">
        <w:t>Wykonawca zobowiązany jest znać wszystkie przepisy i wytyczne, które są w jakikolwiek sposób związane z robotami i będzie w pełni odpowiedzialny za przestrzeganie tych praw, przepisów i wytycznych podczas projektowania.</w:t>
      </w:r>
    </w:p>
    <w:p w:rsidR="00EA17E9" w:rsidRPr="00C47085" w:rsidRDefault="00EA17E9" w:rsidP="00EA17E9">
      <w:pPr>
        <w:jc w:val="left"/>
      </w:pPr>
    </w:p>
    <w:p w:rsidR="00EA17E9" w:rsidRPr="00C47085" w:rsidRDefault="00EA17E9" w:rsidP="00EA17E9">
      <w:pPr>
        <w:pStyle w:val="Nagwek2"/>
        <w:ind w:left="709"/>
      </w:pPr>
      <w:bookmarkStart w:id="43" w:name="_Toc81403455"/>
      <w:bookmarkStart w:id="44" w:name="_Toc81468185"/>
      <w:r w:rsidRPr="00C47085">
        <w:t>Inne posiadane informacje i dokumenty niezbędne do zaprojektowania robót budowlanych</w:t>
      </w:r>
      <w:bookmarkEnd w:id="43"/>
      <w:bookmarkEnd w:id="44"/>
    </w:p>
    <w:p w:rsidR="00EA17E9" w:rsidRPr="00C47085" w:rsidRDefault="00EA17E9" w:rsidP="00EA17E9">
      <w:pPr>
        <w:rPr>
          <w:b/>
        </w:rPr>
      </w:pPr>
      <w:r w:rsidRPr="00C47085">
        <w:rPr>
          <w:b/>
        </w:rPr>
        <w:t>Zakres prac projektowych do wykonania w ramach inwestycji</w:t>
      </w:r>
    </w:p>
    <w:p w:rsidR="00EA17E9" w:rsidRPr="00C47085" w:rsidRDefault="00EA17E9" w:rsidP="00EA17E9">
      <w:r w:rsidRPr="00C47085">
        <w:t>Dokumentacja projektowa oznacza całość dokumentacji (wraz z uzyskaniem wszelkich niezbędnych decyzji, pozwoleń i uzgodnień) niezbędnej do realizacji przedmiotu zamówienia, tzn. do zapewnienia ogólnych właściwości funkcjonalno-użytkowych. W skład dokumentacji projektowej wchodzą wszystkie opracowania projektowe niezbędne do realizacji przedmiotu zamówienia zgodnie z wymaganiami Zamawiającego ujętymi w PFU.</w:t>
      </w:r>
    </w:p>
    <w:p w:rsidR="00DF02EF" w:rsidRPr="00C47085" w:rsidRDefault="00DF02EF" w:rsidP="00DF02EF">
      <w:pPr>
        <w:pStyle w:val="Tekstkomentarza"/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Zakres zamówienia obejmuje opracowanie dokumentacji niezbędnej do wykonania robót, min.: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opracowanie wielobranżowej dokumentacji projektowej (projekt budowlany),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sporządzenie specyfikacji technicznych wykonania i odbioru robót według wymagań obowiązujących przepisów,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przeniesienie praw autorskich do opracowanej dokumentacji projektowej,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uzyskanie wymaganych opinii, uzgodnień i sprawdzeń rozwiązań projektowych w zakresie wynikającym z przepisów, o ile będą wymagane,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sporządzenie planu / informacji BIOZ</w:t>
      </w:r>
      <w:r w:rsidR="0080060A" w:rsidRPr="00C47085">
        <w:rPr>
          <w:sz w:val="24"/>
          <w:szCs w:val="24"/>
        </w:rPr>
        <w:t>,</w:t>
      </w:r>
    </w:p>
    <w:p w:rsidR="00DF02EF" w:rsidRPr="00C47085" w:rsidRDefault="00DF02EF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uzyskanie pozwolenia na budowę,</w:t>
      </w:r>
    </w:p>
    <w:p w:rsidR="00DF02EF" w:rsidRPr="00C47085" w:rsidRDefault="00DF02EF" w:rsidP="00DF02EF">
      <w:pPr>
        <w:pStyle w:val="Akapitzlist"/>
        <w:numPr>
          <w:ilvl w:val="0"/>
          <w:numId w:val="23"/>
        </w:numPr>
        <w:spacing w:after="0" w:line="300" w:lineRule="atLeast"/>
      </w:pPr>
      <w:r w:rsidRPr="00C47085">
        <w:t>sporządzenie przedmiaru robót oraz kosztorysu inwestorskiego,</w:t>
      </w:r>
    </w:p>
    <w:p w:rsidR="00DF02EF" w:rsidRPr="00C47085" w:rsidRDefault="009A1C99" w:rsidP="00DF02EF">
      <w:pPr>
        <w:pStyle w:val="Tekstkomentarza"/>
        <w:numPr>
          <w:ilvl w:val="0"/>
          <w:numId w:val="23"/>
        </w:numPr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t>sporządzenie dokumentacji powykonawczej (art. 3 pkt 14 Prawa Budowlanego),</w:t>
      </w:r>
    </w:p>
    <w:p w:rsidR="00DF02EF" w:rsidRPr="00C47085" w:rsidRDefault="00DF02EF" w:rsidP="005A0314">
      <w:pPr>
        <w:pStyle w:val="Tekstkomentarza"/>
        <w:spacing w:after="0" w:line="300" w:lineRule="atLeast"/>
        <w:rPr>
          <w:sz w:val="24"/>
          <w:szCs w:val="24"/>
        </w:rPr>
      </w:pPr>
      <w:r w:rsidRPr="00C47085">
        <w:rPr>
          <w:sz w:val="24"/>
          <w:szCs w:val="24"/>
        </w:rPr>
        <w:lastRenderedPageBreak/>
        <w:t>zawiadomienie właściwego organu nadzoru budowlanego o zakończeniu budowy (art. 54 Prawo budowlane)</w:t>
      </w:r>
    </w:p>
    <w:p w:rsidR="00EA17E9" w:rsidRPr="00C47085" w:rsidRDefault="00EA17E9" w:rsidP="00EA17E9">
      <w:r w:rsidRPr="00C47085">
        <w:t>Wykonawca zapewni opracowanie dokumentacji projektowej z należytą starannością, zgodnie z zasadami sztuki budowlanej oraz wymaganiami Prawa</w:t>
      </w:r>
      <w:r w:rsidR="00DF02EF" w:rsidRPr="00C47085">
        <w:t>, w szczególności ustawy prawo budowalne wraz z aktami wykonawczymi do ustawy Prawo budowlane</w:t>
      </w:r>
      <w:r w:rsidRPr="00C47085">
        <w:t>.</w:t>
      </w:r>
    </w:p>
    <w:p w:rsidR="00EA17E9" w:rsidRPr="00C47085" w:rsidRDefault="00EA17E9" w:rsidP="00EA17E9">
      <w:r w:rsidRPr="00C47085">
        <w:t xml:space="preserve">Zamawiający oczekuje, że Projektant przedstawi do akceptacji projekt opisujący prace budowlane zaplanowane do wykonania. Po akceptacji dokumentacji projektowej przez Zamawiającego Projektant wystąpi o uzyskanie wymaganych prawem pozwoleń (o ile są wymagane). Po ich uzyskaniu Wykonawca przystąpi do realizacji robót budowlanych. </w:t>
      </w:r>
    </w:p>
    <w:p w:rsidR="00EA17E9" w:rsidRPr="00C47085" w:rsidRDefault="00EA17E9" w:rsidP="00EA17E9">
      <w:r w:rsidRPr="00C47085">
        <w:t xml:space="preserve">Projekt budowlano - wykonawczy, jego części oraz ujęte w nim rozwiązania jak również kolorystyka, muszą zostać zatwierdzone przez Zamawiającego przed rozpoczęciem robót budowlanych. Przekazanie przez Wykonawcę projektu budowlano - wykonawczego do ostatecznego zatwierdzenia Zamawiającemu winno nastąpić w siedzibie Zamawiającego. Zamawiający dokona sprawdzenia w zakresie rzeczowym i zatwierdzenia projektu budowlano - wykonawczego w terminie i formie określonych w </w:t>
      </w:r>
      <w:r w:rsidR="00B00AF1" w:rsidRPr="00C47085">
        <w:t>Projektowanych postanowieniach umowy</w:t>
      </w:r>
      <w:r w:rsidRPr="00C47085">
        <w:t xml:space="preserve"> </w:t>
      </w:r>
      <w:r w:rsidR="00BB453B" w:rsidRPr="00C47085">
        <w:t>dla niniejszego z</w:t>
      </w:r>
      <w:r w:rsidRPr="00C47085">
        <w:t>amówienia. Powyższe dotyczy również szkiców i rysunków, jeśli wykonanie projektu budowlano-wykonawczego nie będzie wymagane.</w:t>
      </w:r>
    </w:p>
    <w:p w:rsidR="00EA17E9" w:rsidRPr="00C47085" w:rsidRDefault="00555BC4" w:rsidP="00EA17E9">
      <w:r w:rsidRPr="00C47085">
        <w:t>W przypadku stwierd</w:t>
      </w:r>
      <w:r w:rsidR="005A0314" w:rsidRPr="00C47085">
        <w:t>zenia braków, uchybień i/lub błę</w:t>
      </w:r>
      <w:r w:rsidRPr="00C47085">
        <w:t xml:space="preserve">dów </w:t>
      </w:r>
      <w:r w:rsidR="005A0314" w:rsidRPr="00C47085">
        <w:t>w dokumentacji skła</w:t>
      </w:r>
      <w:r w:rsidRPr="00C47085">
        <w:t xml:space="preserve">dającej się na przedmiot zamówienia do </w:t>
      </w:r>
      <w:r w:rsidR="00EA17E9" w:rsidRPr="00C47085">
        <w:t xml:space="preserve"> obowiązków jednostki projektowej Wykonawcy będzie należało również uzupełnienie i poprawienie dokumentacji wg zaleceń Zamawiającego i w terminie przez niego ustalonym, o ile nie będą one sprzeczne z obowiązującymi przepisami i normami, sztuką budowlaną i niniejszym PFU oraz innymi dokumentami przekazanymi dla Wykonawcy w trakcie trwania umowy. </w:t>
      </w:r>
    </w:p>
    <w:p w:rsidR="00EA17E9" w:rsidRPr="00C47085" w:rsidRDefault="00EA17E9" w:rsidP="00EA17E9">
      <w:r w:rsidRPr="00C47085">
        <w:t>W zakres zobowiązań Wykonawcy w ramach realizacji przedmiotu zamówienia wchodzi również opracowanie i wykonanie wszelkich innych niezbędnych opracowań i dokumentacji koniecznych do zakończenia prac budowlanych</w:t>
      </w:r>
      <w:r w:rsidR="00555BC4" w:rsidRPr="00C47085">
        <w:t xml:space="preserve"> wymaganych przepisami prawa krajowego</w:t>
      </w:r>
      <w:r w:rsidRPr="00C47085">
        <w:t xml:space="preserve">. </w:t>
      </w:r>
    </w:p>
    <w:p w:rsidR="00EA17E9" w:rsidRPr="00C47085" w:rsidRDefault="00EA17E9" w:rsidP="00EA17E9">
      <w:r w:rsidRPr="00C47085">
        <w:t xml:space="preserve">Dokumentacja projektowa powinna być zaopatrzona w wykaz składających się na nią opracowań oraz pisemne oświadczenie, iż jest ona kompletna z punktu widzenia celu, któremu ma służyć, i że została wykonana z należytą starannością. </w:t>
      </w:r>
    </w:p>
    <w:p w:rsidR="00EA17E9" w:rsidRPr="00C47085" w:rsidRDefault="00EA17E9" w:rsidP="00EA17E9">
      <w:r w:rsidRPr="00C47085">
        <w:t xml:space="preserve">W zakresie dokumentacji projektowej należy ująć wszystkie roboty niezbędne do wykonawstwa robót oraz obliczenia i inne szczegółowe dane pozwalające na sprawdzenie poprawności jej wykonania. </w:t>
      </w:r>
    </w:p>
    <w:p w:rsidR="00EA17E9" w:rsidRPr="00C47085" w:rsidRDefault="00EA17E9" w:rsidP="00EA17E9">
      <w:r w:rsidRPr="00C47085">
        <w:t xml:space="preserve">Rozbiórkę i zagospodarowanie terenu projektować i budować zgodnie z przepisami, w tym techniczno-budowlanymi, obowiązującymi Polskimi Normami oraz zasadami wiedzy technicznej w sposób zapewniający spełnienie wymagań podstawowych dotyczących w szczególności: bezpieczeństwa konstrukcji, bezpieczeństwa pożarowego, bezpieczeństwa użytkowania. </w:t>
      </w:r>
    </w:p>
    <w:p w:rsidR="00EA17E9" w:rsidRPr="00C47085" w:rsidRDefault="00EA17E9" w:rsidP="00EA17E9">
      <w:r w:rsidRPr="00C47085">
        <w:lastRenderedPageBreak/>
        <w:t xml:space="preserve">Przed przystąpieniem do realizacji robót budowlanych Wykonawca przedłoży Zamawiającemu projekt budowlano – wykonawczy (lub szkice i rysunki) wraz z harmonogramem rzeczowo – finansowym robót budowlanych. </w:t>
      </w:r>
    </w:p>
    <w:p w:rsidR="00EA17E9" w:rsidRPr="00C47085" w:rsidRDefault="00EA17E9" w:rsidP="00EA17E9">
      <w:r w:rsidRPr="00C47085">
        <w:t xml:space="preserve">Przed zgłoszeniem zakończenia robót budowlanych wykonawca jest zobowiązany do przedłożenia dokumentacji powykonawczej. </w:t>
      </w:r>
    </w:p>
    <w:p w:rsidR="00EA17E9" w:rsidRPr="00C47085" w:rsidRDefault="00EA17E9" w:rsidP="00EA17E9">
      <w:r w:rsidRPr="00C47085">
        <w:t>Dokumentacja w zakresie wykonywanych robót budowlanych winna zostać opracowana przez osoby posiadające stosowne uprawnienia budowlane w odpowiedniej specjalności w odniesieniu do zakresu projektowanej części opracowania.</w:t>
      </w:r>
    </w:p>
    <w:p w:rsidR="00EA17E9" w:rsidRPr="00C47085" w:rsidRDefault="00EA17E9" w:rsidP="00EA17E9">
      <w:r w:rsidRPr="00C47085">
        <w:t xml:space="preserve">Przy projektowaniu należy przyjąć następujące wymagania ogólne: </w:t>
      </w:r>
    </w:p>
    <w:p w:rsidR="00EA17E9" w:rsidRPr="00C47085" w:rsidRDefault="00EA17E9" w:rsidP="00EA17E9">
      <w:pPr>
        <w:numPr>
          <w:ilvl w:val="0"/>
          <w:numId w:val="3"/>
        </w:numPr>
      </w:pPr>
      <w:r w:rsidRPr="00C47085">
        <w:t>jako podstawę opracowania projektów i wykonania robót należy przyjąć założenia i wymagania przedstawione w Programie Funkcjonalno-Użytkowym (PFU), które pod względem technologicznym zapewnią uzyskanie wymaganych parametrów</w:t>
      </w:r>
    </w:p>
    <w:p w:rsidR="00EA17E9" w:rsidRPr="00C47085" w:rsidRDefault="00EA17E9" w:rsidP="00EA17E9">
      <w:pPr>
        <w:numPr>
          <w:ilvl w:val="0"/>
          <w:numId w:val="3"/>
        </w:numPr>
      </w:pPr>
      <w:r w:rsidRPr="00C47085">
        <w:t>proponowane do wbudowania materiały winny być trwałe, fabrycznie nowe, nieuszkodzone, niemodernizowane, kompletne i gotowe do użycia, posiadające wymagane atesty i certyfikaty bezpieczeństwa</w:t>
      </w:r>
    </w:p>
    <w:p w:rsidR="00EA17E9" w:rsidRPr="00C47085" w:rsidRDefault="00EA17E9" w:rsidP="00EA17E9">
      <w:pPr>
        <w:numPr>
          <w:ilvl w:val="0"/>
          <w:numId w:val="3"/>
        </w:numPr>
      </w:pPr>
      <w:r w:rsidRPr="00C47085">
        <w:t>wszystkie materiały przed wbudowaniem wymagają akceptacji Inspektora Nadzoru i Zamawiającego na podstawie karty materiałowej.</w:t>
      </w:r>
    </w:p>
    <w:p w:rsidR="00EA17E9" w:rsidRPr="00C47085" w:rsidRDefault="00EA17E9" w:rsidP="00EA17E9">
      <w:r w:rsidRPr="00C47085">
        <w:t>Przed rozpoczęciem prac Wykonawca pozyska i zweryfikuje dane i materiały niezbędne do realizacji przedmiotu zamówienia (tzw. dane wyjściowe do projektowania), wykona na własny koszt wszystkie badania technologiczne i analizy niezbędne dla prawidłowego wykonania Dokumentów Wykonawcy, a w szczególności Projektu Budowlanego.</w:t>
      </w:r>
    </w:p>
    <w:p w:rsidR="004309C7" w:rsidRPr="00C47085" w:rsidRDefault="00EA17E9" w:rsidP="00DF7CA2">
      <w:pPr>
        <w:jc w:val="left"/>
      </w:pPr>
      <w:r w:rsidRPr="00C47085">
        <w:t>Wykonawca jest zobowiązany nanieść poprawki w dokumentacji i rysunkach zgodnie z modyfikacjami wykonanymi podczas robót. Wykonawca powinien dostarczyć Zamawiającemu dokumentację powykonawczą zgodną z obowiązującym prawem oraz z Polskimi Normami w czystej, zrozumiałej formie nie później niż 14 dni przed końcowym odbiorem. Dokumentacja powykonawcza podlega zatwierdzeniu przez Nadzór Inwestorski.</w:t>
      </w:r>
      <w:bookmarkStart w:id="45" w:name="_GoBack"/>
      <w:bookmarkEnd w:id="45"/>
    </w:p>
    <w:p w:rsidR="00EA17E9" w:rsidRPr="00C47085" w:rsidRDefault="00EA17E9" w:rsidP="00EA17E9">
      <w:r w:rsidRPr="00C47085">
        <w:t>Załączniki:</w:t>
      </w:r>
    </w:p>
    <w:p w:rsidR="00EA17E9" w:rsidRPr="00C47085" w:rsidRDefault="00EA17E9" w:rsidP="00EA17E9">
      <w:pPr>
        <w:pStyle w:val="Akapitzlist"/>
        <w:numPr>
          <w:ilvl w:val="0"/>
          <w:numId w:val="4"/>
        </w:numPr>
      </w:pPr>
      <w:r w:rsidRPr="00C47085">
        <w:t>Dokumentacja fotograficzna obiektu</w:t>
      </w:r>
    </w:p>
    <w:p w:rsidR="00EA17E9" w:rsidRPr="00C47085" w:rsidRDefault="00EA17E9" w:rsidP="00EA17E9">
      <w:pPr>
        <w:pStyle w:val="Akapitzlist"/>
        <w:numPr>
          <w:ilvl w:val="0"/>
          <w:numId w:val="4"/>
        </w:numPr>
      </w:pPr>
      <w:r w:rsidRPr="00C47085">
        <w:t>Przedmiar robót – szacunkowe ilości robót do wykonania</w:t>
      </w:r>
    </w:p>
    <w:p w:rsidR="00EA17E9" w:rsidRPr="00C47085" w:rsidRDefault="00EA17E9" w:rsidP="00EA17E9">
      <w:pPr>
        <w:pStyle w:val="Akapitzlist"/>
        <w:numPr>
          <w:ilvl w:val="0"/>
          <w:numId w:val="4"/>
        </w:numPr>
      </w:pPr>
      <w:r w:rsidRPr="00C47085">
        <w:t>Rysunek nr 1 – Rzut dachu – stan istniejący</w:t>
      </w:r>
    </w:p>
    <w:p w:rsidR="00EA17E9" w:rsidRPr="00C47085" w:rsidRDefault="00EA17E9" w:rsidP="00EA17E9">
      <w:pPr>
        <w:pStyle w:val="Akapitzlist"/>
        <w:numPr>
          <w:ilvl w:val="0"/>
          <w:numId w:val="4"/>
        </w:numPr>
      </w:pPr>
      <w:r w:rsidRPr="00C47085">
        <w:t>Rysunek nr 2 – Rzut dachu – stan projektowany</w:t>
      </w:r>
    </w:p>
    <w:p w:rsidR="00EA17E9" w:rsidRPr="00C47085" w:rsidRDefault="00EA17E9" w:rsidP="00EA17E9">
      <w:pPr>
        <w:pStyle w:val="Akapitzlist"/>
        <w:numPr>
          <w:ilvl w:val="0"/>
          <w:numId w:val="4"/>
        </w:numPr>
      </w:pPr>
      <w:r w:rsidRPr="00C47085">
        <w:t>Rysunek nr 3 – Elewacja północna, elewacja południowa</w:t>
      </w:r>
    </w:p>
    <w:p w:rsidR="00EA17E9" w:rsidRPr="00C47085" w:rsidRDefault="00EA17E9" w:rsidP="005B177E">
      <w:pPr>
        <w:pStyle w:val="Akapitzlist"/>
        <w:numPr>
          <w:ilvl w:val="0"/>
          <w:numId w:val="4"/>
        </w:numPr>
        <w:jc w:val="left"/>
        <w:rPr>
          <w:rFonts w:ascii="Calibri" w:eastAsiaTheme="majorEastAsia" w:hAnsi="Calibri" w:cstheme="majorBidi"/>
          <w:b/>
          <w:bCs/>
          <w:sz w:val="32"/>
          <w:szCs w:val="28"/>
        </w:rPr>
      </w:pPr>
      <w:r w:rsidRPr="00C47085">
        <w:t>Rysunek nr 4 – Elewacja wschodnia, elewacja zachodnia</w:t>
      </w:r>
    </w:p>
    <w:p w:rsidR="00A777DB" w:rsidRPr="00E5784E" w:rsidRDefault="00A777DB" w:rsidP="00EA17E9">
      <w:pPr>
        <w:pStyle w:val="Nagwek2"/>
        <w:numPr>
          <w:ilvl w:val="0"/>
          <w:numId w:val="0"/>
        </w:numPr>
      </w:pPr>
    </w:p>
    <w:sectPr w:rsidR="00A777DB" w:rsidRPr="00E5784E" w:rsidSect="00EA0C5E"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DF83" w16cex:dateUtc="2022-06-13T14:08:00Z"/>
  <w16cex:commentExtensible w16cex:durableId="2651FB09" w16cex:dateUtc="2022-06-13T16:05:00Z"/>
  <w16cex:commentExtensible w16cex:durableId="2651E076" w16cex:dateUtc="2022-06-13T14:12:00Z"/>
  <w16cex:commentExtensible w16cex:durableId="2651E214" w16cex:dateUtc="2022-06-13T14:19:00Z"/>
  <w16cex:commentExtensible w16cex:durableId="2651E2BC" w16cex:dateUtc="2022-06-13T14:22:00Z"/>
  <w16cex:commentExtensible w16cex:durableId="2651E344" w16cex:dateUtc="2022-06-13T14:24:00Z"/>
  <w16cex:commentExtensible w16cex:durableId="2651E362" w16cex:dateUtc="2022-06-13T14:25:00Z"/>
  <w16cex:commentExtensible w16cex:durableId="2651E475" w16cex:dateUtc="2022-06-13T14:29:00Z"/>
  <w16cex:commentExtensible w16cex:durableId="2651E4A4" w16cex:dateUtc="2022-06-13T14:30:00Z"/>
  <w16cex:commentExtensible w16cex:durableId="2651E517" w16cex:dateUtc="2022-06-13T14:32:00Z"/>
  <w16cex:commentExtensible w16cex:durableId="2651E68E" w16cex:dateUtc="2022-06-13T14:38:00Z"/>
  <w16cex:commentExtensible w16cex:durableId="2651E723" w16cex:dateUtc="2022-06-13T14:41:00Z"/>
  <w16cex:commentExtensible w16cex:durableId="2651E7C8" w16cex:dateUtc="2022-06-13T14:43:00Z"/>
  <w16cex:commentExtensible w16cex:durableId="2651E800" w16cex:dateUtc="2022-06-13T14:44:00Z"/>
  <w16cex:commentExtensible w16cex:durableId="2651E813" w16cex:dateUtc="2022-06-13T14:45:00Z"/>
  <w16cex:commentExtensible w16cex:durableId="2651E83B" w16cex:dateUtc="2022-06-13T14:45:00Z"/>
  <w16cex:commentExtensible w16cex:durableId="2651E899" w16cex:dateUtc="2022-06-13T14:47:00Z"/>
  <w16cex:commentExtensible w16cex:durableId="2651E8B2" w16cex:dateUtc="2022-06-13T14:47:00Z"/>
  <w16cex:commentExtensible w16cex:durableId="2651E931" w16cex:dateUtc="2022-06-13T14:49:00Z"/>
  <w16cex:commentExtensible w16cex:durableId="2651E99F" w16cex:dateUtc="2022-06-13T14:51:00Z"/>
  <w16cex:commentExtensible w16cex:durableId="2651EAD9" w16cex:dateUtc="2022-06-13T14:56:00Z"/>
  <w16cex:commentExtensible w16cex:durableId="2651EC3E" w16cex:dateUtc="2022-06-13T15:02:00Z"/>
  <w16cex:commentExtensible w16cex:durableId="2651EC68" w16cex:dateUtc="2022-06-13T15:03:00Z"/>
  <w16cex:commentExtensible w16cex:durableId="2651EDDC" w16cex:dateUtc="2022-06-13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CBF53" w16cid:durableId="2651DF83"/>
  <w16cid:commentId w16cid:paraId="2D2392C4" w16cid:durableId="2651FB09"/>
  <w16cid:commentId w16cid:paraId="3D63FE76" w16cid:durableId="2651E076"/>
  <w16cid:commentId w16cid:paraId="10A24733" w16cid:durableId="2651E214"/>
  <w16cid:commentId w16cid:paraId="12EF9CF5" w16cid:durableId="2651E2BC"/>
  <w16cid:commentId w16cid:paraId="5A1EFAF4" w16cid:durableId="2651E344"/>
  <w16cid:commentId w16cid:paraId="4EC63E7C" w16cid:durableId="2651E362"/>
  <w16cid:commentId w16cid:paraId="6E5C5447" w16cid:durableId="2651E475"/>
  <w16cid:commentId w16cid:paraId="56F1186D" w16cid:durableId="2651E4A4"/>
  <w16cid:commentId w16cid:paraId="3EE84D37" w16cid:durableId="2651E517"/>
  <w16cid:commentId w16cid:paraId="3ED1A4EF" w16cid:durableId="2651E68E"/>
  <w16cid:commentId w16cid:paraId="415FB7ED" w16cid:durableId="2651E723"/>
  <w16cid:commentId w16cid:paraId="1BDAC26F" w16cid:durableId="2651E7C8"/>
  <w16cid:commentId w16cid:paraId="595DE3AE" w16cid:durableId="2651E800"/>
  <w16cid:commentId w16cid:paraId="4623A5D0" w16cid:durableId="2651E813"/>
  <w16cid:commentId w16cid:paraId="5DB17013" w16cid:durableId="2651E83B"/>
  <w16cid:commentId w16cid:paraId="7F1B44C3" w16cid:durableId="2651E899"/>
  <w16cid:commentId w16cid:paraId="6D91CE37" w16cid:durableId="2651E8B2"/>
  <w16cid:commentId w16cid:paraId="349F5B8C" w16cid:durableId="2651E931"/>
  <w16cid:commentId w16cid:paraId="6BBDDB1B" w16cid:durableId="2651E99F"/>
  <w16cid:commentId w16cid:paraId="02410968" w16cid:durableId="2651EAD9"/>
  <w16cid:commentId w16cid:paraId="7D7FC1F6" w16cid:durableId="2651EC3E"/>
  <w16cid:commentId w16cid:paraId="1135F86B" w16cid:durableId="2651EC68"/>
  <w16cid:commentId w16cid:paraId="7DA6A648" w16cid:durableId="2651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7E" w:rsidRDefault="005B177E" w:rsidP="00602F53">
      <w:r>
        <w:separator/>
      </w:r>
    </w:p>
  </w:endnote>
  <w:endnote w:type="continuationSeparator" w:id="0">
    <w:p w:rsidR="005B177E" w:rsidRDefault="005B177E" w:rsidP="0060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156108"/>
      <w:docPartObj>
        <w:docPartGallery w:val="Page Numbers (Bottom of Page)"/>
        <w:docPartUnique/>
      </w:docPartObj>
    </w:sdtPr>
    <w:sdtEndPr/>
    <w:sdtContent>
      <w:p w:rsidR="005B177E" w:rsidRPr="00E76F99" w:rsidRDefault="005B177E" w:rsidP="001312A1">
        <w:pPr>
          <w:pStyle w:val="Stopka"/>
          <w:tabs>
            <w:tab w:val="left" w:pos="4335"/>
          </w:tabs>
          <w:jc w:val="left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7CA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B177E" w:rsidRPr="00E76F99" w:rsidRDefault="005B177E" w:rsidP="0060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7E" w:rsidRDefault="005B177E" w:rsidP="00602F53">
      <w:r>
        <w:separator/>
      </w:r>
    </w:p>
  </w:footnote>
  <w:footnote w:type="continuationSeparator" w:id="0">
    <w:p w:rsidR="005B177E" w:rsidRDefault="005B177E" w:rsidP="0060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EF4"/>
    <w:multiLevelType w:val="hybridMultilevel"/>
    <w:tmpl w:val="732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116"/>
    <w:multiLevelType w:val="hybridMultilevel"/>
    <w:tmpl w:val="FEEE7D60"/>
    <w:lvl w:ilvl="0" w:tplc="61A0C96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B06"/>
    <w:multiLevelType w:val="hybridMultilevel"/>
    <w:tmpl w:val="2D22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BE3"/>
    <w:multiLevelType w:val="hybridMultilevel"/>
    <w:tmpl w:val="4614D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538F"/>
    <w:multiLevelType w:val="hybridMultilevel"/>
    <w:tmpl w:val="CB30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0E1"/>
    <w:multiLevelType w:val="hybridMultilevel"/>
    <w:tmpl w:val="50E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34C8"/>
    <w:multiLevelType w:val="hybridMultilevel"/>
    <w:tmpl w:val="232E2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743"/>
    <w:multiLevelType w:val="hybridMultilevel"/>
    <w:tmpl w:val="932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BCD"/>
    <w:multiLevelType w:val="hybridMultilevel"/>
    <w:tmpl w:val="CDB2A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311A1"/>
    <w:multiLevelType w:val="hybridMultilevel"/>
    <w:tmpl w:val="12DC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2E5"/>
    <w:multiLevelType w:val="hybridMultilevel"/>
    <w:tmpl w:val="2AB0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885"/>
    <w:multiLevelType w:val="hybridMultilevel"/>
    <w:tmpl w:val="2E52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77C0"/>
    <w:multiLevelType w:val="hybridMultilevel"/>
    <w:tmpl w:val="A15C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50671"/>
    <w:multiLevelType w:val="hybridMultilevel"/>
    <w:tmpl w:val="C2E8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E011C"/>
    <w:multiLevelType w:val="hybridMultilevel"/>
    <w:tmpl w:val="91341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3A9"/>
    <w:multiLevelType w:val="hybridMultilevel"/>
    <w:tmpl w:val="12D4A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05B09"/>
    <w:multiLevelType w:val="hybridMultilevel"/>
    <w:tmpl w:val="49BA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348EB"/>
    <w:multiLevelType w:val="hybridMultilevel"/>
    <w:tmpl w:val="587AC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16689"/>
    <w:multiLevelType w:val="multilevel"/>
    <w:tmpl w:val="C60A13B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50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F7686"/>
    <w:multiLevelType w:val="hybridMultilevel"/>
    <w:tmpl w:val="08421CA4"/>
    <w:lvl w:ilvl="0" w:tplc="24FC2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C5374"/>
    <w:multiLevelType w:val="hybridMultilevel"/>
    <w:tmpl w:val="9BB2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B96"/>
    <w:multiLevelType w:val="hybridMultilevel"/>
    <w:tmpl w:val="FCC841A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7B7A5819"/>
    <w:multiLevelType w:val="hybridMultilevel"/>
    <w:tmpl w:val="19E6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5"/>
  </w:num>
  <w:num w:numId="8">
    <w:abstractNumId w:val="7"/>
  </w:num>
  <w:num w:numId="9">
    <w:abstractNumId w:val="17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1"/>
  </w:num>
  <w:num w:numId="18">
    <w:abstractNumId w:val="22"/>
  </w:num>
  <w:num w:numId="19">
    <w:abstractNumId w:val="20"/>
  </w:num>
  <w:num w:numId="20">
    <w:abstractNumId w:val="19"/>
  </w:num>
  <w:num w:numId="21">
    <w:abstractNumId w:val="13"/>
  </w:num>
  <w:num w:numId="22">
    <w:abstractNumId w:val="3"/>
  </w:num>
  <w:num w:numId="2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01"/>
    <w:rsid w:val="00001184"/>
    <w:rsid w:val="000015DE"/>
    <w:rsid w:val="000020F9"/>
    <w:rsid w:val="00002244"/>
    <w:rsid w:val="00002C90"/>
    <w:rsid w:val="00003649"/>
    <w:rsid w:val="00004CFC"/>
    <w:rsid w:val="00005D78"/>
    <w:rsid w:val="00006858"/>
    <w:rsid w:val="00007A53"/>
    <w:rsid w:val="0001401F"/>
    <w:rsid w:val="000173C8"/>
    <w:rsid w:val="000176FB"/>
    <w:rsid w:val="000217E9"/>
    <w:rsid w:val="00021E51"/>
    <w:rsid w:val="00022806"/>
    <w:rsid w:val="00025666"/>
    <w:rsid w:val="000308E4"/>
    <w:rsid w:val="00031E98"/>
    <w:rsid w:val="00033129"/>
    <w:rsid w:val="000332C7"/>
    <w:rsid w:val="000360F1"/>
    <w:rsid w:val="000367B6"/>
    <w:rsid w:val="00036CF7"/>
    <w:rsid w:val="000370D2"/>
    <w:rsid w:val="000375A1"/>
    <w:rsid w:val="00037FC4"/>
    <w:rsid w:val="000401D7"/>
    <w:rsid w:val="000401FA"/>
    <w:rsid w:val="00043176"/>
    <w:rsid w:val="000444DC"/>
    <w:rsid w:val="00044AC1"/>
    <w:rsid w:val="00044C18"/>
    <w:rsid w:val="000469A9"/>
    <w:rsid w:val="00046D55"/>
    <w:rsid w:val="00047420"/>
    <w:rsid w:val="00050C69"/>
    <w:rsid w:val="00051E77"/>
    <w:rsid w:val="000534C7"/>
    <w:rsid w:val="000550A2"/>
    <w:rsid w:val="00055FC0"/>
    <w:rsid w:val="00057278"/>
    <w:rsid w:val="00060CC2"/>
    <w:rsid w:val="000632AD"/>
    <w:rsid w:val="00063823"/>
    <w:rsid w:val="00064472"/>
    <w:rsid w:val="00065EA3"/>
    <w:rsid w:val="000668DF"/>
    <w:rsid w:val="00073A20"/>
    <w:rsid w:val="000746AD"/>
    <w:rsid w:val="00074D60"/>
    <w:rsid w:val="0007664F"/>
    <w:rsid w:val="00076662"/>
    <w:rsid w:val="00077EBE"/>
    <w:rsid w:val="000808A3"/>
    <w:rsid w:val="000821B9"/>
    <w:rsid w:val="0008240F"/>
    <w:rsid w:val="000825A9"/>
    <w:rsid w:val="00086492"/>
    <w:rsid w:val="000908DE"/>
    <w:rsid w:val="00090A1E"/>
    <w:rsid w:val="00091832"/>
    <w:rsid w:val="00091A1C"/>
    <w:rsid w:val="00093411"/>
    <w:rsid w:val="000937B3"/>
    <w:rsid w:val="00094BCF"/>
    <w:rsid w:val="00095FE7"/>
    <w:rsid w:val="0009659F"/>
    <w:rsid w:val="0009669A"/>
    <w:rsid w:val="00097D3B"/>
    <w:rsid w:val="00097E5C"/>
    <w:rsid w:val="000A00EB"/>
    <w:rsid w:val="000A3F4A"/>
    <w:rsid w:val="000A6540"/>
    <w:rsid w:val="000A7242"/>
    <w:rsid w:val="000B007B"/>
    <w:rsid w:val="000B28DB"/>
    <w:rsid w:val="000B2D74"/>
    <w:rsid w:val="000B4602"/>
    <w:rsid w:val="000B6BFE"/>
    <w:rsid w:val="000B6E6E"/>
    <w:rsid w:val="000B6FA4"/>
    <w:rsid w:val="000B752C"/>
    <w:rsid w:val="000B7663"/>
    <w:rsid w:val="000B77F2"/>
    <w:rsid w:val="000C0BB8"/>
    <w:rsid w:val="000C19A9"/>
    <w:rsid w:val="000C19E2"/>
    <w:rsid w:val="000C24B0"/>
    <w:rsid w:val="000C2F99"/>
    <w:rsid w:val="000C3017"/>
    <w:rsid w:val="000C58F2"/>
    <w:rsid w:val="000C5B45"/>
    <w:rsid w:val="000C65E2"/>
    <w:rsid w:val="000C71D5"/>
    <w:rsid w:val="000C73C7"/>
    <w:rsid w:val="000D09A7"/>
    <w:rsid w:val="000D10B8"/>
    <w:rsid w:val="000D11FE"/>
    <w:rsid w:val="000D1EF4"/>
    <w:rsid w:val="000D239C"/>
    <w:rsid w:val="000D412C"/>
    <w:rsid w:val="000D4205"/>
    <w:rsid w:val="000D444B"/>
    <w:rsid w:val="000D68F2"/>
    <w:rsid w:val="000D697F"/>
    <w:rsid w:val="000D6A97"/>
    <w:rsid w:val="000D786F"/>
    <w:rsid w:val="000D7C00"/>
    <w:rsid w:val="000E025C"/>
    <w:rsid w:val="000E4E2D"/>
    <w:rsid w:val="000E5737"/>
    <w:rsid w:val="000E5D42"/>
    <w:rsid w:val="000E68C7"/>
    <w:rsid w:val="000E726C"/>
    <w:rsid w:val="000F0618"/>
    <w:rsid w:val="000F0F78"/>
    <w:rsid w:val="000F29CC"/>
    <w:rsid w:val="000F32A4"/>
    <w:rsid w:val="000F3EA1"/>
    <w:rsid w:val="000F4B80"/>
    <w:rsid w:val="000F4F89"/>
    <w:rsid w:val="000F6CE4"/>
    <w:rsid w:val="000F7B39"/>
    <w:rsid w:val="00100109"/>
    <w:rsid w:val="00100967"/>
    <w:rsid w:val="00100A5E"/>
    <w:rsid w:val="0010411F"/>
    <w:rsid w:val="001044AC"/>
    <w:rsid w:val="001048FB"/>
    <w:rsid w:val="00104CF0"/>
    <w:rsid w:val="00105094"/>
    <w:rsid w:val="00107A8F"/>
    <w:rsid w:val="00110DD8"/>
    <w:rsid w:val="00111EF2"/>
    <w:rsid w:val="00112028"/>
    <w:rsid w:val="00112BF0"/>
    <w:rsid w:val="0011338A"/>
    <w:rsid w:val="0011365D"/>
    <w:rsid w:val="0011434F"/>
    <w:rsid w:val="0011488B"/>
    <w:rsid w:val="0011575A"/>
    <w:rsid w:val="001157F3"/>
    <w:rsid w:val="0011675D"/>
    <w:rsid w:val="00121C7F"/>
    <w:rsid w:val="0012248B"/>
    <w:rsid w:val="0012466F"/>
    <w:rsid w:val="00124743"/>
    <w:rsid w:val="00125838"/>
    <w:rsid w:val="0012791D"/>
    <w:rsid w:val="0013021A"/>
    <w:rsid w:val="001312A1"/>
    <w:rsid w:val="001330CD"/>
    <w:rsid w:val="001353D0"/>
    <w:rsid w:val="00136AF4"/>
    <w:rsid w:val="00136CA7"/>
    <w:rsid w:val="00141F7E"/>
    <w:rsid w:val="0014368E"/>
    <w:rsid w:val="001445BF"/>
    <w:rsid w:val="001449BB"/>
    <w:rsid w:val="0014591B"/>
    <w:rsid w:val="00145DAD"/>
    <w:rsid w:val="00146395"/>
    <w:rsid w:val="00146622"/>
    <w:rsid w:val="001468C1"/>
    <w:rsid w:val="00147F38"/>
    <w:rsid w:val="00153EC2"/>
    <w:rsid w:val="0015544F"/>
    <w:rsid w:val="0015618C"/>
    <w:rsid w:val="00156899"/>
    <w:rsid w:val="001578F7"/>
    <w:rsid w:val="00157A3B"/>
    <w:rsid w:val="00162271"/>
    <w:rsid w:val="00162CC1"/>
    <w:rsid w:val="00165A7A"/>
    <w:rsid w:val="00166AF7"/>
    <w:rsid w:val="00167FBC"/>
    <w:rsid w:val="00170E52"/>
    <w:rsid w:val="00171E93"/>
    <w:rsid w:val="001722F9"/>
    <w:rsid w:val="00173538"/>
    <w:rsid w:val="00173FAB"/>
    <w:rsid w:val="0017431B"/>
    <w:rsid w:val="001747BD"/>
    <w:rsid w:val="00175F1D"/>
    <w:rsid w:val="00175FCC"/>
    <w:rsid w:val="00176B73"/>
    <w:rsid w:val="00176D4E"/>
    <w:rsid w:val="00176D61"/>
    <w:rsid w:val="00177BDC"/>
    <w:rsid w:val="00181A59"/>
    <w:rsid w:val="00182461"/>
    <w:rsid w:val="001838A1"/>
    <w:rsid w:val="00184040"/>
    <w:rsid w:val="0018536C"/>
    <w:rsid w:val="00185E50"/>
    <w:rsid w:val="0019065C"/>
    <w:rsid w:val="0019298D"/>
    <w:rsid w:val="00192A8F"/>
    <w:rsid w:val="00194CF1"/>
    <w:rsid w:val="00195A90"/>
    <w:rsid w:val="001964B4"/>
    <w:rsid w:val="001976F9"/>
    <w:rsid w:val="00197C49"/>
    <w:rsid w:val="001A05E6"/>
    <w:rsid w:val="001A10F5"/>
    <w:rsid w:val="001A2AF9"/>
    <w:rsid w:val="001A45F9"/>
    <w:rsid w:val="001A5336"/>
    <w:rsid w:val="001A5B73"/>
    <w:rsid w:val="001A6C78"/>
    <w:rsid w:val="001A79E6"/>
    <w:rsid w:val="001B1CEE"/>
    <w:rsid w:val="001B4F4B"/>
    <w:rsid w:val="001B55C1"/>
    <w:rsid w:val="001B6143"/>
    <w:rsid w:val="001B6586"/>
    <w:rsid w:val="001B787E"/>
    <w:rsid w:val="001C0979"/>
    <w:rsid w:val="001C0D04"/>
    <w:rsid w:val="001C19BA"/>
    <w:rsid w:val="001C2D05"/>
    <w:rsid w:val="001C3190"/>
    <w:rsid w:val="001C3A77"/>
    <w:rsid w:val="001C442E"/>
    <w:rsid w:val="001C6BFC"/>
    <w:rsid w:val="001C73D8"/>
    <w:rsid w:val="001C7719"/>
    <w:rsid w:val="001C7FBB"/>
    <w:rsid w:val="001D0C7B"/>
    <w:rsid w:val="001D17CB"/>
    <w:rsid w:val="001D2005"/>
    <w:rsid w:val="001D3434"/>
    <w:rsid w:val="001D3667"/>
    <w:rsid w:val="001D3C9B"/>
    <w:rsid w:val="001D41DF"/>
    <w:rsid w:val="001D496C"/>
    <w:rsid w:val="001D5F07"/>
    <w:rsid w:val="001D6B65"/>
    <w:rsid w:val="001D7A73"/>
    <w:rsid w:val="001E2D1E"/>
    <w:rsid w:val="001E4B97"/>
    <w:rsid w:val="001E4E2A"/>
    <w:rsid w:val="001E525A"/>
    <w:rsid w:val="001E591B"/>
    <w:rsid w:val="001E64A4"/>
    <w:rsid w:val="001E64BA"/>
    <w:rsid w:val="001E6BD4"/>
    <w:rsid w:val="001E75C9"/>
    <w:rsid w:val="001E7F40"/>
    <w:rsid w:val="001F09F5"/>
    <w:rsid w:val="001F17ED"/>
    <w:rsid w:val="001F2913"/>
    <w:rsid w:val="001F2E26"/>
    <w:rsid w:val="001F37E2"/>
    <w:rsid w:val="001F3911"/>
    <w:rsid w:val="001F433B"/>
    <w:rsid w:val="001F7F20"/>
    <w:rsid w:val="002020E9"/>
    <w:rsid w:val="0020485C"/>
    <w:rsid w:val="00204960"/>
    <w:rsid w:val="00207224"/>
    <w:rsid w:val="00212507"/>
    <w:rsid w:val="00212CBC"/>
    <w:rsid w:val="0021348E"/>
    <w:rsid w:val="0021375D"/>
    <w:rsid w:val="00213EC0"/>
    <w:rsid w:val="00214546"/>
    <w:rsid w:val="00215D40"/>
    <w:rsid w:val="0021611E"/>
    <w:rsid w:val="00216789"/>
    <w:rsid w:val="002169C1"/>
    <w:rsid w:val="00220BA7"/>
    <w:rsid w:val="00220DA7"/>
    <w:rsid w:val="0022311D"/>
    <w:rsid w:val="00223663"/>
    <w:rsid w:val="002242B3"/>
    <w:rsid w:val="00224388"/>
    <w:rsid w:val="00225600"/>
    <w:rsid w:val="002275E4"/>
    <w:rsid w:val="0023035C"/>
    <w:rsid w:val="00231A99"/>
    <w:rsid w:val="00231ABD"/>
    <w:rsid w:val="0023206D"/>
    <w:rsid w:val="00233710"/>
    <w:rsid w:val="002337E2"/>
    <w:rsid w:val="00233EE0"/>
    <w:rsid w:val="002343C0"/>
    <w:rsid w:val="002344EB"/>
    <w:rsid w:val="00234F21"/>
    <w:rsid w:val="0023571C"/>
    <w:rsid w:val="002375FB"/>
    <w:rsid w:val="00242EAE"/>
    <w:rsid w:val="00243F2F"/>
    <w:rsid w:val="00245478"/>
    <w:rsid w:val="00246513"/>
    <w:rsid w:val="002501D7"/>
    <w:rsid w:val="00250DA6"/>
    <w:rsid w:val="00252F97"/>
    <w:rsid w:val="002556CB"/>
    <w:rsid w:val="00255BDB"/>
    <w:rsid w:val="002560DB"/>
    <w:rsid w:val="00256572"/>
    <w:rsid w:val="00256D4A"/>
    <w:rsid w:val="0026135A"/>
    <w:rsid w:val="0026249E"/>
    <w:rsid w:val="00263C76"/>
    <w:rsid w:val="002702DC"/>
    <w:rsid w:val="00270F3E"/>
    <w:rsid w:val="00271443"/>
    <w:rsid w:val="00275230"/>
    <w:rsid w:val="00275545"/>
    <w:rsid w:val="00276A5A"/>
    <w:rsid w:val="002772A5"/>
    <w:rsid w:val="002779D1"/>
    <w:rsid w:val="002813E5"/>
    <w:rsid w:val="00281441"/>
    <w:rsid w:val="00281661"/>
    <w:rsid w:val="00281F21"/>
    <w:rsid w:val="00283432"/>
    <w:rsid w:val="00283C36"/>
    <w:rsid w:val="00284598"/>
    <w:rsid w:val="00285CD3"/>
    <w:rsid w:val="00286876"/>
    <w:rsid w:val="00290C8A"/>
    <w:rsid w:val="0029257C"/>
    <w:rsid w:val="002937B6"/>
    <w:rsid w:val="00296E17"/>
    <w:rsid w:val="00297F44"/>
    <w:rsid w:val="002A3AFB"/>
    <w:rsid w:val="002A57C3"/>
    <w:rsid w:val="002A6537"/>
    <w:rsid w:val="002A6CBD"/>
    <w:rsid w:val="002A7903"/>
    <w:rsid w:val="002A7ADE"/>
    <w:rsid w:val="002A7B67"/>
    <w:rsid w:val="002B06D1"/>
    <w:rsid w:val="002B0F30"/>
    <w:rsid w:val="002B3578"/>
    <w:rsid w:val="002B359B"/>
    <w:rsid w:val="002B5284"/>
    <w:rsid w:val="002B5D4A"/>
    <w:rsid w:val="002B6F40"/>
    <w:rsid w:val="002C23C8"/>
    <w:rsid w:val="002C25FF"/>
    <w:rsid w:val="002C2CAA"/>
    <w:rsid w:val="002C4BDC"/>
    <w:rsid w:val="002C5333"/>
    <w:rsid w:val="002C6BC0"/>
    <w:rsid w:val="002C7AE7"/>
    <w:rsid w:val="002D0036"/>
    <w:rsid w:val="002D300B"/>
    <w:rsid w:val="002D312A"/>
    <w:rsid w:val="002D3E83"/>
    <w:rsid w:val="002D5096"/>
    <w:rsid w:val="002D61DF"/>
    <w:rsid w:val="002D658C"/>
    <w:rsid w:val="002D66D9"/>
    <w:rsid w:val="002D686D"/>
    <w:rsid w:val="002E17A0"/>
    <w:rsid w:val="002E17CB"/>
    <w:rsid w:val="002E2020"/>
    <w:rsid w:val="002E2310"/>
    <w:rsid w:val="002E2A4F"/>
    <w:rsid w:val="002E328E"/>
    <w:rsid w:val="002E38D0"/>
    <w:rsid w:val="002E4882"/>
    <w:rsid w:val="002E6BC9"/>
    <w:rsid w:val="002E6BE6"/>
    <w:rsid w:val="002E6C74"/>
    <w:rsid w:val="002E77E0"/>
    <w:rsid w:val="002F1AF5"/>
    <w:rsid w:val="002F1D66"/>
    <w:rsid w:val="002F251A"/>
    <w:rsid w:val="002F3300"/>
    <w:rsid w:val="002F7FD5"/>
    <w:rsid w:val="00300AA5"/>
    <w:rsid w:val="00301885"/>
    <w:rsid w:val="00301FA6"/>
    <w:rsid w:val="0030391C"/>
    <w:rsid w:val="00304AE6"/>
    <w:rsid w:val="00305671"/>
    <w:rsid w:val="00306061"/>
    <w:rsid w:val="00306266"/>
    <w:rsid w:val="00306F2B"/>
    <w:rsid w:val="003104DD"/>
    <w:rsid w:val="003108D2"/>
    <w:rsid w:val="00311760"/>
    <w:rsid w:val="0031212B"/>
    <w:rsid w:val="003122EC"/>
    <w:rsid w:val="00314716"/>
    <w:rsid w:val="00314B95"/>
    <w:rsid w:val="0031606E"/>
    <w:rsid w:val="00316877"/>
    <w:rsid w:val="00316CCB"/>
    <w:rsid w:val="00316D8F"/>
    <w:rsid w:val="0031779A"/>
    <w:rsid w:val="003178BE"/>
    <w:rsid w:val="00320996"/>
    <w:rsid w:val="00320BB0"/>
    <w:rsid w:val="0032136B"/>
    <w:rsid w:val="00323BDA"/>
    <w:rsid w:val="00330A4C"/>
    <w:rsid w:val="00330DA6"/>
    <w:rsid w:val="0033171E"/>
    <w:rsid w:val="00334BFA"/>
    <w:rsid w:val="0033643E"/>
    <w:rsid w:val="00336F58"/>
    <w:rsid w:val="00341972"/>
    <w:rsid w:val="00341ACD"/>
    <w:rsid w:val="003428C7"/>
    <w:rsid w:val="00344276"/>
    <w:rsid w:val="003447EC"/>
    <w:rsid w:val="00346516"/>
    <w:rsid w:val="00347E47"/>
    <w:rsid w:val="00350008"/>
    <w:rsid w:val="0035083F"/>
    <w:rsid w:val="00351396"/>
    <w:rsid w:val="00351D52"/>
    <w:rsid w:val="00352428"/>
    <w:rsid w:val="00353511"/>
    <w:rsid w:val="00354504"/>
    <w:rsid w:val="0035482D"/>
    <w:rsid w:val="003558A9"/>
    <w:rsid w:val="003566FF"/>
    <w:rsid w:val="00360F7A"/>
    <w:rsid w:val="0036215C"/>
    <w:rsid w:val="00362341"/>
    <w:rsid w:val="00365913"/>
    <w:rsid w:val="00366DE3"/>
    <w:rsid w:val="00370F1A"/>
    <w:rsid w:val="00371CE6"/>
    <w:rsid w:val="00372213"/>
    <w:rsid w:val="00372248"/>
    <w:rsid w:val="003753B8"/>
    <w:rsid w:val="003762EA"/>
    <w:rsid w:val="003805B1"/>
    <w:rsid w:val="003809ED"/>
    <w:rsid w:val="0038212D"/>
    <w:rsid w:val="00382199"/>
    <w:rsid w:val="00383D7B"/>
    <w:rsid w:val="00385679"/>
    <w:rsid w:val="00385797"/>
    <w:rsid w:val="00387A0A"/>
    <w:rsid w:val="0039096E"/>
    <w:rsid w:val="00390C42"/>
    <w:rsid w:val="00390ECE"/>
    <w:rsid w:val="003914CD"/>
    <w:rsid w:val="003915C7"/>
    <w:rsid w:val="0039334A"/>
    <w:rsid w:val="0039341B"/>
    <w:rsid w:val="00393A06"/>
    <w:rsid w:val="00394C07"/>
    <w:rsid w:val="00396F1E"/>
    <w:rsid w:val="003A0A1D"/>
    <w:rsid w:val="003A0A2C"/>
    <w:rsid w:val="003A23D6"/>
    <w:rsid w:val="003A2610"/>
    <w:rsid w:val="003A2A74"/>
    <w:rsid w:val="003A2EEE"/>
    <w:rsid w:val="003A3374"/>
    <w:rsid w:val="003A3AEE"/>
    <w:rsid w:val="003A3B68"/>
    <w:rsid w:val="003A425E"/>
    <w:rsid w:val="003A438B"/>
    <w:rsid w:val="003A447C"/>
    <w:rsid w:val="003A4EF8"/>
    <w:rsid w:val="003A63D2"/>
    <w:rsid w:val="003A7D27"/>
    <w:rsid w:val="003B05B9"/>
    <w:rsid w:val="003B0A6A"/>
    <w:rsid w:val="003B2638"/>
    <w:rsid w:val="003B2D82"/>
    <w:rsid w:val="003B5605"/>
    <w:rsid w:val="003B5B48"/>
    <w:rsid w:val="003B62BC"/>
    <w:rsid w:val="003B6981"/>
    <w:rsid w:val="003B6DFC"/>
    <w:rsid w:val="003B7451"/>
    <w:rsid w:val="003B74BF"/>
    <w:rsid w:val="003B78D4"/>
    <w:rsid w:val="003C0C09"/>
    <w:rsid w:val="003C0D1D"/>
    <w:rsid w:val="003C0E9C"/>
    <w:rsid w:val="003C1050"/>
    <w:rsid w:val="003C1B5A"/>
    <w:rsid w:val="003C3DE8"/>
    <w:rsid w:val="003C6912"/>
    <w:rsid w:val="003C6E4F"/>
    <w:rsid w:val="003C7BA7"/>
    <w:rsid w:val="003D09E0"/>
    <w:rsid w:val="003D1225"/>
    <w:rsid w:val="003D2E8D"/>
    <w:rsid w:val="003D6429"/>
    <w:rsid w:val="003D764D"/>
    <w:rsid w:val="003E0380"/>
    <w:rsid w:val="003E1620"/>
    <w:rsid w:val="003E2173"/>
    <w:rsid w:val="003E73E9"/>
    <w:rsid w:val="003E7F90"/>
    <w:rsid w:val="003F0A6E"/>
    <w:rsid w:val="003F27C8"/>
    <w:rsid w:val="003F2BD4"/>
    <w:rsid w:val="003F3E31"/>
    <w:rsid w:val="003F66DD"/>
    <w:rsid w:val="00403642"/>
    <w:rsid w:val="00403E51"/>
    <w:rsid w:val="00405413"/>
    <w:rsid w:val="0040764E"/>
    <w:rsid w:val="004108AE"/>
    <w:rsid w:val="00411823"/>
    <w:rsid w:val="00416346"/>
    <w:rsid w:val="004216C5"/>
    <w:rsid w:val="0042183B"/>
    <w:rsid w:val="00421F28"/>
    <w:rsid w:val="00422DEB"/>
    <w:rsid w:val="00423B0B"/>
    <w:rsid w:val="00424B7E"/>
    <w:rsid w:val="00427ED0"/>
    <w:rsid w:val="0043027D"/>
    <w:rsid w:val="004309C7"/>
    <w:rsid w:val="00432AF3"/>
    <w:rsid w:val="00435D83"/>
    <w:rsid w:val="00436A42"/>
    <w:rsid w:val="00436CAD"/>
    <w:rsid w:val="0043766B"/>
    <w:rsid w:val="004401BE"/>
    <w:rsid w:val="0044057E"/>
    <w:rsid w:val="0044151A"/>
    <w:rsid w:val="00446E27"/>
    <w:rsid w:val="004475DA"/>
    <w:rsid w:val="0045092C"/>
    <w:rsid w:val="004518AC"/>
    <w:rsid w:val="004565D8"/>
    <w:rsid w:val="0045693A"/>
    <w:rsid w:val="00457094"/>
    <w:rsid w:val="004577F2"/>
    <w:rsid w:val="004606AC"/>
    <w:rsid w:val="0046236F"/>
    <w:rsid w:val="00462705"/>
    <w:rsid w:val="00462C90"/>
    <w:rsid w:val="00462D36"/>
    <w:rsid w:val="0046496E"/>
    <w:rsid w:val="00464B31"/>
    <w:rsid w:val="00464DDA"/>
    <w:rsid w:val="00466347"/>
    <w:rsid w:val="0046729F"/>
    <w:rsid w:val="00467328"/>
    <w:rsid w:val="0047010D"/>
    <w:rsid w:val="00472EBE"/>
    <w:rsid w:val="00473EF8"/>
    <w:rsid w:val="0047479F"/>
    <w:rsid w:val="004752EB"/>
    <w:rsid w:val="00476724"/>
    <w:rsid w:val="00476804"/>
    <w:rsid w:val="004777AE"/>
    <w:rsid w:val="004779F0"/>
    <w:rsid w:val="00480445"/>
    <w:rsid w:val="00481C51"/>
    <w:rsid w:val="00482FBE"/>
    <w:rsid w:val="0048416F"/>
    <w:rsid w:val="00484740"/>
    <w:rsid w:val="00484919"/>
    <w:rsid w:val="00484B9D"/>
    <w:rsid w:val="004850AF"/>
    <w:rsid w:val="00490D27"/>
    <w:rsid w:val="00493048"/>
    <w:rsid w:val="00493F0F"/>
    <w:rsid w:val="004941DF"/>
    <w:rsid w:val="00494F91"/>
    <w:rsid w:val="00495B78"/>
    <w:rsid w:val="004965F7"/>
    <w:rsid w:val="004979C9"/>
    <w:rsid w:val="00497BDE"/>
    <w:rsid w:val="004A144F"/>
    <w:rsid w:val="004A1581"/>
    <w:rsid w:val="004A195A"/>
    <w:rsid w:val="004A271A"/>
    <w:rsid w:val="004A4ED5"/>
    <w:rsid w:val="004A57CB"/>
    <w:rsid w:val="004A7788"/>
    <w:rsid w:val="004A77DC"/>
    <w:rsid w:val="004A7BAB"/>
    <w:rsid w:val="004B02D7"/>
    <w:rsid w:val="004B0AC4"/>
    <w:rsid w:val="004B1121"/>
    <w:rsid w:val="004B1768"/>
    <w:rsid w:val="004B26B8"/>
    <w:rsid w:val="004B29F0"/>
    <w:rsid w:val="004B31CF"/>
    <w:rsid w:val="004B4046"/>
    <w:rsid w:val="004B4385"/>
    <w:rsid w:val="004B5968"/>
    <w:rsid w:val="004B6CF8"/>
    <w:rsid w:val="004C0194"/>
    <w:rsid w:val="004C08C6"/>
    <w:rsid w:val="004C0A32"/>
    <w:rsid w:val="004C187C"/>
    <w:rsid w:val="004C2BEE"/>
    <w:rsid w:val="004C2E84"/>
    <w:rsid w:val="004C45DF"/>
    <w:rsid w:val="004C4621"/>
    <w:rsid w:val="004C4E25"/>
    <w:rsid w:val="004C4FFD"/>
    <w:rsid w:val="004C5EF8"/>
    <w:rsid w:val="004C6F12"/>
    <w:rsid w:val="004D15E7"/>
    <w:rsid w:val="004D2DD6"/>
    <w:rsid w:val="004D2EF8"/>
    <w:rsid w:val="004D40CA"/>
    <w:rsid w:val="004D4A1F"/>
    <w:rsid w:val="004E1CDF"/>
    <w:rsid w:val="004E26E3"/>
    <w:rsid w:val="004E40CF"/>
    <w:rsid w:val="004E450F"/>
    <w:rsid w:val="004E5F06"/>
    <w:rsid w:val="004E7852"/>
    <w:rsid w:val="004E7F5C"/>
    <w:rsid w:val="004F0174"/>
    <w:rsid w:val="004F06C7"/>
    <w:rsid w:val="004F0A6B"/>
    <w:rsid w:val="004F12F3"/>
    <w:rsid w:val="004F1572"/>
    <w:rsid w:val="004F1C7E"/>
    <w:rsid w:val="004F2A44"/>
    <w:rsid w:val="004F5950"/>
    <w:rsid w:val="00500123"/>
    <w:rsid w:val="005019DA"/>
    <w:rsid w:val="00501C9B"/>
    <w:rsid w:val="0050280B"/>
    <w:rsid w:val="00502F31"/>
    <w:rsid w:val="0050350C"/>
    <w:rsid w:val="0050518F"/>
    <w:rsid w:val="00505449"/>
    <w:rsid w:val="00506BBC"/>
    <w:rsid w:val="00511096"/>
    <w:rsid w:val="0051192C"/>
    <w:rsid w:val="00513FC8"/>
    <w:rsid w:val="00514151"/>
    <w:rsid w:val="005163A3"/>
    <w:rsid w:val="005179F9"/>
    <w:rsid w:val="005201BF"/>
    <w:rsid w:val="005214FB"/>
    <w:rsid w:val="0052268E"/>
    <w:rsid w:val="0052382E"/>
    <w:rsid w:val="0052393B"/>
    <w:rsid w:val="00523A36"/>
    <w:rsid w:val="00523CA8"/>
    <w:rsid w:val="00523E7E"/>
    <w:rsid w:val="005253D7"/>
    <w:rsid w:val="00527BE5"/>
    <w:rsid w:val="00530F1B"/>
    <w:rsid w:val="00532F5B"/>
    <w:rsid w:val="0053461E"/>
    <w:rsid w:val="00535328"/>
    <w:rsid w:val="005363C1"/>
    <w:rsid w:val="00536620"/>
    <w:rsid w:val="00536E88"/>
    <w:rsid w:val="005373B1"/>
    <w:rsid w:val="0053747B"/>
    <w:rsid w:val="00537AB3"/>
    <w:rsid w:val="00537D0E"/>
    <w:rsid w:val="00537E56"/>
    <w:rsid w:val="005407C8"/>
    <w:rsid w:val="00540927"/>
    <w:rsid w:val="00540952"/>
    <w:rsid w:val="00541579"/>
    <w:rsid w:val="0054442E"/>
    <w:rsid w:val="00544C08"/>
    <w:rsid w:val="00545E09"/>
    <w:rsid w:val="00550411"/>
    <w:rsid w:val="0055050F"/>
    <w:rsid w:val="00550EE1"/>
    <w:rsid w:val="00551F84"/>
    <w:rsid w:val="00553FD7"/>
    <w:rsid w:val="00555BC4"/>
    <w:rsid w:val="00556AFA"/>
    <w:rsid w:val="00556CDE"/>
    <w:rsid w:val="00557346"/>
    <w:rsid w:val="0056189E"/>
    <w:rsid w:val="0056240D"/>
    <w:rsid w:val="0056299E"/>
    <w:rsid w:val="00562F05"/>
    <w:rsid w:val="00563A67"/>
    <w:rsid w:val="00563F4A"/>
    <w:rsid w:val="0056430B"/>
    <w:rsid w:val="00566120"/>
    <w:rsid w:val="0056636A"/>
    <w:rsid w:val="00570DF7"/>
    <w:rsid w:val="00571C6E"/>
    <w:rsid w:val="005726CA"/>
    <w:rsid w:val="005759F4"/>
    <w:rsid w:val="00575DF8"/>
    <w:rsid w:val="005772F3"/>
    <w:rsid w:val="0057737E"/>
    <w:rsid w:val="005774E6"/>
    <w:rsid w:val="00577692"/>
    <w:rsid w:val="005836BA"/>
    <w:rsid w:val="00584AA3"/>
    <w:rsid w:val="00585886"/>
    <w:rsid w:val="00585998"/>
    <w:rsid w:val="0058603F"/>
    <w:rsid w:val="005860EA"/>
    <w:rsid w:val="005868C9"/>
    <w:rsid w:val="00586B3A"/>
    <w:rsid w:val="00590684"/>
    <w:rsid w:val="005921A4"/>
    <w:rsid w:val="005928AF"/>
    <w:rsid w:val="00592D3D"/>
    <w:rsid w:val="005932F5"/>
    <w:rsid w:val="00593831"/>
    <w:rsid w:val="00593CE6"/>
    <w:rsid w:val="00594670"/>
    <w:rsid w:val="00594BB2"/>
    <w:rsid w:val="005957AA"/>
    <w:rsid w:val="005A0314"/>
    <w:rsid w:val="005A0D2C"/>
    <w:rsid w:val="005A0E2D"/>
    <w:rsid w:val="005A1159"/>
    <w:rsid w:val="005A35FD"/>
    <w:rsid w:val="005A54A2"/>
    <w:rsid w:val="005A6EE6"/>
    <w:rsid w:val="005A6F7C"/>
    <w:rsid w:val="005A7999"/>
    <w:rsid w:val="005A7E95"/>
    <w:rsid w:val="005B0060"/>
    <w:rsid w:val="005B021F"/>
    <w:rsid w:val="005B12EB"/>
    <w:rsid w:val="005B1357"/>
    <w:rsid w:val="005B177E"/>
    <w:rsid w:val="005B1953"/>
    <w:rsid w:val="005B2087"/>
    <w:rsid w:val="005B257C"/>
    <w:rsid w:val="005B2E31"/>
    <w:rsid w:val="005B2E5B"/>
    <w:rsid w:val="005B35F4"/>
    <w:rsid w:val="005B3CC6"/>
    <w:rsid w:val="005B492A"/>
    <w:rsid w:val="005B79A0"/>
    <w:rsid w:val="005B7C86"/>
    <w:rsid w:val="005C1612"/>
    <w:rsid w:val="005C47F9"/>
    <w:rsid w:val="005C53FE"/>
    <w:rsid w:val="005C5B4A"/>
    <w:rsid w:val="005C6072"/>
    <w:rsid w:val="005D1F78"/>
    <w:rsid w:val="005D202E"/>
    <w:rsid w:val="005D36D0"/>
    <w:rsid w:val="005D43DC"/>
    <w:rsid w:val="005D51B0"/>
    <w:rsid w:val="005D68F7"/>
    <w:rsid w:val="005D71BA"/>
    <w:rsid w:val="005D7A08"/>
    <w:rsid w:val="005E1BA5"/>
    <w:rsid w:val="005E3879"/>
    <w:rsid w:val="005E61C6"/>
    <w:rsid w:val="005E61D3"/>
    <w:rsid w:val="005E790E"/>
    <w:rsid w:val="005F20A5"/>
    <w:rsid w:val="005F238B"/>
    <w:rsid w:val="005F52F5"/>
    <w:rsid w:val="005F5B26"/>
    <w:rsid w:val="005F6CE0"/>
    <w:rsid w:val="005F7676"/>
    <w:rsid w:val="005F76F2"/>
    <w:rsid w:val="006018B4"/>
    <w:rsid w:val="00602F53"/>
    <w:rsid w:val="00603C5E"/>
    <w:rsid w:val="00604A4C"/>
    <w:rsid w:val="00604E0B"/>
    <w:rsid w:val="00605062"/>
    <w:rsid w:val="00605090"/>
    <w:rsid w:val="0060544E"/>
    <w:rsid w:val="0060545D"/>
    <w:rsid w:val="00607141"/>
    <w:rsid w:val="00612375"/>
    <w:rsid w:val="00612916"/>
    <w:rsid w:val="00613864"/>
    <w:rsid w:val="00614169"/>
    <w:rsid w:val="00615692"/>
    <w:rsid w:val="00615731"/>
    <w:rsid w:val="00615AA5"/>
    <w:rsid w:val="00616187"/>
    <w:rsid w:val="00616484"/>
    <w:rsid w:val="00617B4C"/>
    <w:rsid w:val="006202C1"/>
    <w:rsid w:val="0062152E"/>
    <w:rsid w:val="00622091"/>
    <w:rsid w:val="00622DDE"/>
    <w:rsid w:val="00623070"/>
    <w:rsid w:val="00625CF5"/>
    <w:rsid w:val="00630EFD"/>
    <w:rsid w:val="0063111D"/>
    <w:rsid w:val="006317AB"/>
    <w:rsid w:val="006320AD"/>
    <w:rsid w:val="00634DB2"/>
    <w:rsid w:val="00635026"/>
    <w:rsid w:val="00636C61"/>
    <w:rsid w:val="006370F9"/>
    <w:rsid w:val="0063744B"/>
    <w:rsid w:val="006426C4"/>
    <w:rsid w:val="00642810"/>
    <w:rsid w:val="006432F8"/>
    <w:rsid w:val="006444BE"/>
    <w:rsid w:val="00647318"/>
    <w:rsid w:val="00647EFF"/>
    <w:rsid w:val="00650B0B"/>
    <w:rsid w:val="00652643"/>
    <w:rsid w:val="006540AC"/>
    <w:rsid w:val="006544D4"/>
    <w:rsid w:val="0065479D"/>
    <w:rsid w:val="00660801"/>
    <w:rsid w:val="00660EAF"/>
    <w:rsid w:val="00662476"/>
    <w:rsid w:val="00663772"/>
    <w:rsid w:val="00663F09"/>
    <w:rsid w:val="006656F0"/>
    <w:rsid w:val="00667631"/>
    <w:rsid w:val="00667E92"/>
    <w:rsid w:val="006723F7"/>
    <w:rsid w:val="006729DC"/>
    <w:rsid w:val="00673397"/>
    <w:rsid w:val="00673B7A"/>
    <w:rsid w:val="00675258"/>
    <w:rsid w:val="006758D4"/>
    <w:rsid w:val="00676FD5"/>
    <w:rsid w:val="00677788"/>
    <w:rsid w:val="00680ABA"/>
    <w:rsid w:val="00683929"/>
    <w:rsid w:val="00683B88"/>
    <w:rsid w:val="00684042"/>
    <w:rsid w:val="00685D9C"/>
    <w:rsid w:val="0068619B"/>
    <w:rsid w:val="0069072D"/>
    <w:rsid w:val="0069093D"/>
    <w:rsid w:val="00690C8D"/>
    <w:rsid w:val="0069113C"/>
    <w:rsid w:val="006916CD"/>
    <w:rsid w:val="00691BFA"/>
    <w:rsid w:val="006920D2"/>
    <w:rsid w:val="00692CB4"/>
    <w:rsid w:val="00693332"/>
    <w:rsid w:val="0069517D"/>
    <w:rsid w:val="00695B61"/>
    <w:rsid w:val="006963D6"/>
    <w:rsid w:val="00696D48"/>
    <w:rsid w:val="006974E0"/>
    <w:rsid w:val="00697531"/>
    <w:rsid w:val="00697658"/>
    <w:rsid w:val="006A0CCA"/>
    <w:rsid w:val="006A1871"/>
    <w:rsid w:val="006A1EBC"/>
    <w:rsid w:val="006A23C4"/>
    <w:rsid w:val="006A4194"/>
    <w:rsid w:val="006A7168"/>
    <w:rsid w:val="006B0DE9"/>
    <w:rsid w:val="006B188B"/>
    <w:rsid w:val="006B19F1"/>
    <w:rsid w:val="006B247D"/>
    <w:rsid w:val="006B2F09"/>
    <w:rsid w:val="006B3F2E"/>
    <w:rsid w:val="006B5047"/>
    <w:rsid w:val="006B584D"/>
    <w:rsid w:val="006B5A51"/>
    <w:rsid w:val="006B6427"/>
    <w:rsid w:val="006C073E"/>
    <w:rsid w:val="006C188E"/>
    <w:rsid w:val="006C2B43"/>
    <w:rsid w:val="006C3B89"/>
    <w:rsid w:val="006C72BE"/>
    <w:rsid w:val="006C7470"/>
    <w:rsid w:val="006C768A"/>
    <w:rsid w:val="006D00E7"/>
    <w:rsid w:val="006D0D8F"/>
    <w:rsid w:val="006D1BEF"/>
    <w:rsid w:val="006D29E0"/>
    <w:rsid w:val="006D35C3"/>
    <w:rsid w:val="006D3863"/>
    <w:rsid w:val="006D394B"/>
    <w:rsid w:val="006D448B"/>
    <w:rsid w:val="006D56DC"/>
    <w:rsid w:val="006D6AD4"/>
    <w:rsid w:val="006D7135"/>
    <w:rsid w:val="006D7DBC"/>
    <w:rsid w:val="006E0C45"/>
    <w:rsid w:val="006E1EC7"/>
    <w:rsid w:val="006E27D0"/>
    <w:rsid w:val="006E36CC"/>
    <w:rsid w:val="006E3D35"/>
    <w:rsid w:val="006E4BDC"/>
    <w:rsid w:val="006E6CB0"/>
    <w:rsid w:val="006E741D"/>
    <w:rsid w:val="006F4500"/>
    <w:rsid w:val="006F5E45"/>
    <w:rsid w:val="006F5F99"/>
    <w:rsid w:val="006F683E"/>
    <w:rsid w:val="006F6C9D"/>
    <w:rsid w:val="006F6FEC"/>
    <w:rsid w:val="0070279C"/>
    <w:rsid w:val="00702A0D"/>
    <w:rsid w:val="00703766"/>
    <w:rsid w:val="007058BC"/>
    <w:rsid w:val="00707705"/>
    <w:rsid w:val="007104C7"/>
    <w:rsid w:val="007105F0"/>
    <w:rsid w:val="0071125D"/>
    <w:rsid w:val="00712D66"/>
    <w:rsid w:val="00715918"/>
    <w:rsid w:val="00721190"/>
    <w:rsid w:val="00722061"/>
    <w:rsid w:val="007220E6"/>
    <w:rsid w:val="00725121"/>
    <w:rsid w:val="00726E0B"/>
    <w:rsid w:val="00730670"/>
    <w:rsid w:val="00730E3B"/>
    <w:rsid w:val="007314B1"/>
    <w:rsid w:val="007325D3"/>
    <w:rsid w:val="007327DC"/>
    <w:rsid w:val="00733EC4"/>
    <w:rsid w:val="00734DE7"/>
    <w:rsid w:val="00735A38"/>
    <w:rsid w:val="007366DF"/>
    <w:rsid w:val="00736DE6"/>
    <w:rsid w:val="007414D1"/>
    <w:rsid w:val="007470A6"/>
    <w:rsid w:val="007471E0"/>
    <w:rsid w:val="00747B08"/>
    <w:rsid w:val="00750101"/>
    <w:rsid w:val="007501AE"/>
    <w:rsid w:val="00751F38"/>
    <w:rsid w:val="00752143"/>
    <w:rsid w:val="00753D9F"/>
    <w:rsid w:val="00757C23"/>
    <w:rsid w:val="0076019B"/>
    <w:rsid w:val="0076131C"/>
    <w:rsid w:val="007618E3"/>
    <w:rsid w:val="00762205"/>
    <w:rsid w:val="00762C02"/>
    <w:rsid w:val="00763BD8"/>
    <w:rsid w:val="00763E30"/>
    <w:rsid w:val="0076617E"/>
    <w:rsid w:val="00766299"/>
    <w:rsid w:val="007662B5"/>
    <w:rsid w:val="007665CF"/>
    <w:rsid w:val="0076768D"/>
    <w:rsid w:val="00767F3F"/>
    <w:rsid w:val="007712D9"/>
    <w:rsid w:val="007716DA"/>
    <w:rsid w:val="00771E83"/>
    <w:rsid w:val="00771F90"/>
    <w:rsid w:val="00773024"/>
    <w:rsid w:val="007730B7"/>
    <w:rsid w:val="00776221"/>
    <w:rsid w:val="007768FB"/>
    <w:rsid w:val="0078067A"/>
    <w:rsid w:val="00780920"/>
    <w:rsid w:val="00780A7B"/>
    <w:rsid w:val="0078176B"/>
    <w:rsid w:val="0078186A"/>
    <w:rsid w:val="00781DD5"/>
    <w:rsid w:val="00781F98"/>
    <w:rsid w:val="00783504"/>
    <w:rsid w:val="007873B2"/>
    <w:rsid w:val="00791924"/>
    <w:rsid w:val="00791B32"/>
    <w:rsid w:val="00795BE3"/>
    <w:rsid w:val="00795C04"/>
    <w:rsid w:val="007977B5"/>
    <w:rsid w:val="007A13B5"/>
    <w:rsid w:val="007A1454"/>
    <w:rsid w:val="007A1809"/>
    <w:rsid w:val="007A209B"/>
    <w:rsid w:val="007A2CD1"/>
    <w:rsid w:val="007A3501"/>
    <w:rsid w:val="007A3CEC"/>
    <w:rsid w:val="007A479F"/>
    <w:rsid w:val="007A483F"/>
    <w:rsid w:val="007A6EB0"/>
    <w:rsid w:val="007A7015"/>
    <w:rsid w:val="007A7784"/>
    <w:rsid w:val="007B066C"/>
    <w:rsid w:val="007B0754"/>
    <w:rsid w:val="007B0F59"/>
    <w:rsid w:val="007B4D33"/>
    <w:rsid w:val="007B4F3F"/>
    <w:rsid w:val="007B50AF"/>
    <w:rsid w:val="007B5AFD"/>
    <w:rsid w:val="007B66DC"/>
    <w:rsid w:val="007C16C8"/>
    <w:rsid w:val="007C1A15"/>
    <w:rsid w:val="007C2E5E"/>
    <w:rsid w:val="007C30F1"/>
    <w:rsid w:val="007C3F97"/>
    <w:rsid w:val="007C43DA"/>
    <w:rsid w:val="007C46EC"/>
    <w:rsid w:val="007C4AA1"/>
    <w:rsid w:val="007C4C61"/>
    <w:rsid w:val="007C7EAD"/>
    <w:rsid w:val="007D0408"/>
    <w:rsid w:val="007D0970"/>
    <w:rsid w:val="007D1BEC"/>
    <w:rsid w:val="007D40CD"/>
    <w:rsid w:val="007D7A1B"/>
    <w:rsid w:val="007D7D9E"/>
    <w:rsid w:val="007E3620"/>
    <w:rsid w:val="007E39FD"/>
    <w:rsid w:val="007E6E8D"/>
    <w:rsid w:val="007F17F3"/>
    <w:rsid w:val="007F247A"/>
    <w:rsid w:val="007F3D51"/>
    <w:rsid w:val="007F4A56"/>
    <w:rsid w:val="007F5FC5"/>
    <w:rsid w:val="007F686F"/>
    <w:rsid w:val="007F7366"/>
    <w:rsid w:val="008001F6"/>
    <w:rsid w:val="0080060A"/>
    <w:rsid w:val="0080094C"/>
    <w:rsid w:val="00801422"/>
    <w:rsid w:val="008021CF"/>
    <w:rsid w:val="00804679"/>
    <w:rsid w:val="008064E9"/>
    <w:rsid w:val="00807FF8"/>
    <w:rsid w:val="0081183E"/>
    <w:rsid w:val="00811CB2"/>
    <w:rsid w:val="00812032"/>
    <w:rsid w:val="00812A9C"/>
    <w:rsid w:val="00812D87"/>
    <w:rsid w:val="00814589"/>
    <w:rsid w:val="008151AA"/>
    <w:rsid w:val="00815308"/>
    <w:rsid w:val="00815D53"/>
    <w:rsid w:val="00821C92"/>
    <w:rsid w:val="0082232F"/>
    <w:rsid w:val="008223EA"/>
    <w:rsid w:val="00822A74"/>
    <w:rsid w:val="008246B3"/>
    <w:rsid w:val="008249E1"/>
    <w:rsid w:val="0082543A"/>
    <w:rsid w:val="00826175"/>
    <w:rsid w:val="0082797E"/>
    <w:rsid w:val="0083063E"/>
    <w:rsid w:val="00830B8C"/>
    <w:rsid w:val="00830E40"/>
    <w:rsid w:val="0083248D"/>
    <w:rsid w:val="0083493B"/>
    <w:rsid w:val="00836D38"/>
    <w:rsid w:val="0083739F"/>
    <w:rsid w:val="00840226"/>
    <w:rsid w:val="008429A1"/>
    <w:rsid w:val="0084642F"/>
    <w:rsid w:val="00847E18"/>
    <w:rsid w:val="00851B62"/>
    <w:rsid w:val="00852373"/>
    <w:rsid w:val="0085262E"/>
    <w:rsid w:val="00852E0D"/>
    <w:rsid w:val="00854A02"/>
    <w:rsid w:val="00854FB1"/>
    <w:rsid w:val="00855038"/>
    <w:rsid w:val="00855D4B"/>
    <w:rsid w:val="00856674"/>
    <w:rsid w:val="00857771"/>
    <w:rsid w:val="008604D2"/>
    <w:rsid w:val="008611D7"/>
    <w:rsid w:val="00861FB7"/>
    <w:rsid w:val="008622EE"/>
    <w:rsid w:val="00865852"/>
    <w:rsid w:val="00865A6B"/>
    <w:rsid w:val="00867275"/>
    <w:rsid w:val="00867297"/>
    <w:rsid w:val="00867838"/>
    <w:rsid w:val="008713CD"/>
    <w:rsid w:val="00871592"/>
    <w:rsid w:val="00871EB5"/>
    <w:rsid w:val="008726F6"/>
    <w:rsid w:val="008734FD"/>
    <w:rsid w:val="008759A9"/>
    <w:rsid w:val="008773C0"/>
    <w:rsid w:val="008824CB"/>
    <w:rsid w:val="00882710"/>
    <w:rsid w:val="008827F8"/>
    <w:rsid w:val="00882DF9"/>
    <w:rsid w:val="008830C9"/>
    <w:rsid w:val="00883AD5"/>
    <w:rsid w:val="008853EE"/>
    <w:rsid w:val="0088547F"/>
    <w:rsid w:val="00891053"/>
    <w:rsid w:val="0089682D"/>
    <w:rsid w:val="008A0601"/>
    <w:rsid w:val="008A0F03"/>
    <w:rsid w:val="008A132C"/>
    <w:rsid w:val="008A34E8"/>
    <w:rsid w:val="008A5D27"/>
    <w:rsid w:val="008A5D86"/>
    <w:rsid w:val="008A7167"/>
    <w:rsid w:val="008A77F2"/>
    <w:rsid w:val="008B116D"/>
    <w:rsid w:val="008B1260"/>
    <w:rsid w:val="008B19DF"/>
    <w:rsid w:val="008B2F09"/>
    <w:rsid w:val="008B3462"/>
    <w:rsid w:val="008B5CE9"/>
    <w:rsid w:val="008B6FF0"/>
    <w:rsid w:val="008B71D4"/>
    <w:rsid w:val="008B72B5"/>
    <w:rsid w:val="008B7614"/>
    <w:rsid w:val="008C0006"/>
    <w:rsid w:val="008C0B2F"/>
    <w:rsid w:val="008C23B5"/>
    <w:rsid w:val="008C467D"/>
    <w:rsid w:val="008C5776"/>
    <w:rsid w:val="008C61FF"/>
    <w:rsid w:val="008C697C"/>
    <w:rsid w:val="008D075E"/>
    <w:rsid w:val="008D1203"/>
    <w:rsid w:val="008D3BCA"/>
    <w:rsid w:val="008D42D5"/>
    <w:rsid w:val="008D63AB"/>
    <w:rsid w:val="008D67E6"/>
    <w:rsid w:val="008D7281"/>
    <w:rsid w:val="008D77AF"/>
    <w:rsid w:val="008D798B"/>
    <w:rsid w:val="008D7E81"/>
    <w:rsid w:val="008E04BF"/>
    <w:rsid w:val="008E221B"/>
    <w:rsid w:val="008E222E"/>
    <w:rsid w:val="008E3E86"/>
    <w:rsid w:val="008E43A9"/>
    <w:rsid w:val="008E54E0"/>
    <w:rsid w:val="008E63A8"/>
    <w:rsid w:val="008E7247"/>
    <w:rsid w:val="008E72B8"/>
    <w:rsid w:val="008E79D4"/>
    <w:rsid w:val="008F433E"/>
    <w:rsid w:val="008F6738"/>
    <w:rsid w:val="008F6FA5"/>
    <w:rsid w:val="008F7AFD"/>
    <w:rsid w:val="00904B6A"/>
    <w:rsid w:val="0090505D"/>
    <w:rsid w:val="009050A4"/>
    <w:rsid w:val="009067F3"/>
    <w:rsid w:val="009079B0"/>
    <w:rsid w:val="009103C1"/>
    <w:rsid w:val="00910564"/>
    <w:rsid w:val="00910806"/>
    <w:rsid w:val="00910AA7"/>
    <w:rsid w:val="00910E43"/>
    <w:rsid w:val="0091576C"/>
    <w:rsid w:val="009210F8"/>
    <w:rsid w:val="00921C59"/>
    <w:rsid w:val="00921FC1"/>
    <w:rsid w:val="00922141"/>
    <w:rsid w:val="00922B5C"/>
    <w:rsid w:val="00924A43"/>
    <w:rsid w:val="0092628A"/>
    <w:rsid w:val="00926983"/>
    <w:rsid w:val="00927E8A"/>
    <w:rsid w:val="00930CFB"/>
    <w:rsid w:val="0093160D"/>
    <w:rsid w:val="00933A89"/>
    <w:rsid w:val="00934300"/>
    <w:rsid w:val="0093446E"/>
    <w:rsid w:val="009360A2"/>
    <w:rsid w:val="0094260C"/>
    <w:rsid w:val="009432E0"/>
    <w:rsid w:val="00943836"/>
    <w:rsid w:val="009448A6"/>
    <w:rsid w:val="00944EA7"/>
    <w:rsid w:val="0094533F"/>
    <w:rsid w:val="009456ED"/>
    <w:rsid w:val="00946FF6"/>
    <w:rsid w:val="0095088D"/>
    <w:rsid w:val="009508B9"/>
    <w:rsid w:val="00950BCB"/>
    <w:rsid w:val="00951B7C"/>
    <w:rsid w:val="0095287D"/>
    <w:rsid w:val="00953061"/>
    <w:rsid w:val="0095343D"/>
    <w:rsid w:val="00953552"/>
    <w:rsid w:val="00955C7C"/>
    <w:rsid w:val="009561CC"/>
    <w:rsid w:val="00957282"/>
    <w:rsid w:val="0096097D"/>
    <w:rsid w:val="00961AD1"/>
    <w:rsid w:val="00962727"/>
    <w:rsid w:val="00964539"/>
    <w:rsid w:val="00965321"/>
    <w:rsid w:val="009653CE"/>
    <w:rsid w:val="00966D6E"/>
    <w:rsid w:val="00966FC5"/>
    <w:rsid w:val="00967537"/>
    <w:rsid w:val="00967AAD"/>
    <w:rsid w:val="00967FF4"/>
    <w:rsid w:val="00970B6A"/>
    <w:rsid w:val="00971409"/>
    <w:rsid w:val="00972833"/>
    <w:rsid w:val="00974AEB"/>
    <w:rsid w:val="00975105"/>
    <w:rsid w:val="009752AA"/>
    <w:rsid w:val="00975D78"/>
    <w:rsid w:val="00976557"/>
    <w:rsid w:val="0097679F"/>
    <w:rsid w:val="0098011D"/>
    <w:rsid w:val="00980577"/>
    <w:rsid w:val="00981768"/>
    <w:rsid w:val="0098454B"/>
    <w:rsid w:val="00984573"/>
    <w:rsid w:val="00984D12"/>
    <w:rsid w:val="00984E5F"/>
    <w:rsid w:val="009854E8"/>
    <w:rsid w:val="0098555E"/>
    <w:rsid w:val="00985604"/>
    <w:rsid w:val="00985E79"/>
    <w:rsid w:val="00987364"/>
    <w:rsid w:val="00990498"/>
    <w:rsid w:val="00991309"/>
    <w:rsid w:val="00991693"/>
    <w:rsid w:val="009922BA"/>
    <w:rsid w:val="009941ED"/>
    <w:rsid w:val="00995D03"/>
    <w:rsid w:val="00995E37"/>
    <w:rsid w:val="00995F63"/>
    <w:rsid w:val="00997FD6"/>
    <w:rsid w:val="009A12EF"/>
    <w:rsid w:val="009A1C99"/>
    <w:rsid w:val="009A2482"/>
    <w:rsid w:val="009A330E"/>
    <w:rsid w:val="009A3401"/>
    <w:rsid w:val="009A39E4"/>
    <w:rsid w:val="009A3E7A"/>
    <w:rsid w:val="009A450D"/>
    <w:rsid w:val="009A4935"/>
    <w:rsid w:val="009A4E79"/>
    <w:rsid w:val="009A63FE"/>
    <w:rsid w:val="009A67D3"/>
    <w:rsid w:val="009A6CCF"/>
    <w:rsid w:val="009A70C2"/>
    <w:rsid w:val="009B3493"/>
    <w:rsid w:val="009B45CA"/>
    <w:rsid w:val="009B4F68"/>
    <w:rsid w:val="009B64A5"/>
    <w:rsid w:val="009B64D1"/>
    <w:rsid w:val="009B6F83"/>
    <w:rsid w:val="009B7F4A"/>
    <w:rsid w:val="009C1835"/>
    <w:rsid w:val="009C1E40"/>
    <w:rsid w:val="009C2AE2"/>
    <w:rsid w:val="009C34FE"/>
    <w:rsid w:val="009C4E23"/>
    <w:rsid w:val="009C533D"/>
    <w:rsid w:val="009C5768"/>
    <w:rsid w:val="009C601A"/>
    <w:rsid w:val="009D018F"/>
    <w:rsid w:val="009D06B2"/>
    <w:rsid w:val="009D0DA7"/>
    <w:rsid w:val="009D1957"/>
    <w:rsid w:val="009D19FF"/>
    <w:rsid w:val="009D2255"/>
    <w:rsid w:val="009D252F"/>
    <w:rsid w:val="009D60C0"/>
    <w:rsid w:val="009D60F9"/>
    <w:rsid w:val="009D7022"/>
    <w:rsid w:val="009D7175"/>
    <w:rsid w:val="009D78F1"/>
    <w:rsid w:val="009E1279"/>
    <w:rsid w:val="009E1AE8"/>
    <w:rsid w:val="009E2371"/>
    <w:rsid w:val="009E294A"/>
    <w:rsid w:val="009E31DA"/>
    <w:rsid w:val="009E3FAF"/>
    <w:rsid w:val="009E45D8"/>
    <w:rsid w:val="009E4A74"/>
    <w:rsid w:val="009E5BFD"/>
    <w:rsid w:val="009E6045"/>
    <w:rsid w:val="009E63C8"/>
    <w:rsid w:val="009E677A"/>
    <w:rsid w:val="009F0BE6"/>
    <w:rsid w:val="009F13B2"/>
    <w:rsid w:val="009F234D"/>
    <w:rsid w:val="009F27B2"/>
    <w:rsid w:val="009F41C6"/>
    <w:rsid w:val="009F4347"/>
    <w:rsid w:val="009F672C"/>
    <w:rsid w:val="00A0011F"/>
    <w:rsid w:val="00A01DBD"/>
    <w:rsid w:val="00A027EC"/>
    <w:rsid w:val="00A02BDF"/>
    <w:rsid w:val="00A02F5F"/>
    <w:rsid w:val="00A04019"/>
    <w:rsid w:val="00A04A2E"/>
    <w:rsid w:val="00A04BCA"/>
    <w:rsid w:val="00A06221"/>
    <w:rsid w:val="00A114AC"/>
    <w:rsid w:val="00A12A67"/>
    <w:rsid w:val="00A13580"/>
    <w:rsid w:val="00A139C2"/>
    <w:rsid w:val="00A148CD"/>
    <w:rsid w:val="00A14BE2"/>
    <w:rsid w:val="00A14FA0"/>
    <w:rsid w:val="00A1662A"/>
    <w:rsid w:val="00A16A0E"/>
    <w:rsid w:val="00A17537"/>
    <w:rsid w:val="00A20FAB"/>
    <w:rsid w:val="00A21E12"/>
    <w:rsid w:val="00A23F36"/>
    <w:rsid w:val="00A32C81"/>
    <w:rsid w:val="00A33467"/>
    <w:rsid w:val="00A347B0"/>
    <w:rsid w:val="00A35A32"/>
    <w:rsid w:val="00A36837"/>
    <w:rsid w:val="00A37684"/>
    <w:rsid w:val="00A37A6F"/>
    <w:rsid w:val="00A37E20"/>
    <w:rsid w:val="00A410DC"/>
    <w:rsid w:val="00A410F5"/>
    <w:rsid w:val="00A41370"/>
    <w:rsid w:val="00A43919"/>
    <w:rsid w:val="00A458A2"/>
    <w:rsid w:val="00A46145"/>
    <w:rsid w:val="00A473E3"/>
    <w:rsid w:val="00A47576"/>
    <w:rsid w:val="00A47958"/>
    <w:rsid w:val="00A52908"/>
    <w:rsid w:val="00A52C3E"/>
    <w:rsid w:val="00A54965"/>
    <w:rsid w:val="00A5631E"/>
    <w:rsid w:val="00A5751B"/>
    <w:rsid w:val="00A63F69"/>
    <w:rsid w:val="00A65FE8"/>
    <w:rsid w:val="00A6658B"/>
    <w:rsid w:val="00A71D54"/>
    <w:rsid w:val="00A71FB3"/>
    <w:rsid w:val="00A73440"/>
    <w:rsid w:val="00A73605"/>
    <w:rsid w:val="00A74CB5"/>
    <w:rsid w:val="00A76672"/>
    <w:rsid w:val="00A777DB"/>
    <w:rsid w:val="00A8020E"/>
    <w:rsid w:val="00A805AF"/>
    <w:rsid w:val="00A822C5"/>
    <w:rsid w:val="00A82671"/>
    <w:rsid w:val="00A844EF"/>
    <w:rsid w:val="00A84E98"/>
    <w:rsid w:val="00A8677D"/>
    <w:rsid w:val="00A87981"/>
    <w:rsid w:val="00A87DEE"/>
    <w:rsid w:val="00A90151"/>
    <w:rsid w:val="00A90210"/>
    <w:rsid w:val="00A91442"/>
    <w:rsid w:val="00A9198F"/>
    <w:rsid w:val="00A941E7"/>
    <w:rsid w:val="00A94D3F"/>
    <w:rsid w:val="00A9589F"/>
    <w:rsid w:val="00A962D2"/>
    <w:rsid w:val="00A96F9B"/>
    <w:rsid w:val="00A97C51"/>
    <w:rsid w:val="00AA141B"/>
    <w:rsid w:val="00AA1FF3"/>
    <w:rsid w:val="00AA2726"/>
    <w:rsid w:val="00AA29E6"/>
    <w:rsid w:val="00AA6E53"/>
    <w:rsid w:val="00AB02C0"/>
    <w:rsid w:val="00AB05F3"/>
    <w:rsid w:val="00AB2395"/>
    <w:rsid w:val="00AB30D8"/>
    <w:rsid w:val="00AB3A5A"/>
    <w:rsid w:val="00AB44A6"/>
    <w:rsid w:val="00AB517F"/>
    <w:rsid w:val="00AB60AF"/>
    <w:rsid w:val="00AB70F9"/>
    <w:rsid w:val="00AB7F36"/>
    <w:rsid w:val="00AC00EA"/>
    <w:rsid w:val="00AC0F35"/>
    <w:rsid w:val="00AC210C"/>
    <w:rsid w:val="00AC39B4"/>
    <w:rsid w:val="00AC4110"/>
    <w:rsid w:val="00AC5730"/>
    <w:rsid w:val="00AC747E"/>
    <w:rsid w:val="00AC7BBE"/>
    <w:rsid w:val="00AD0828"/>
    <w:rsid w:val="00AD0C07"/>
    <w:rsid w:val="00AD51F8"/>
    <w:rsid w:val="00AD57A6"/>
    <w:rsid w:val="00AD64C8"/>
    <w:rsid w:val="00AD77B3"/>
    <w:rsid w:val="00AD7FBB"/>
    <w:rsid w:val="00AE044A"/>
    <w:rsid w:val="00AE0E7A"/>
    <w:rsid w:val="00AE0FD8"/>
    <w:rsid w:val="00AE23BC"/>
    <w:rsid w:val="00AE23CC"/>
    <w:rsid w:val="00AE36FC"/>
    <w:rsid w:val="00AE4422"/>
    <w:rsid w:val="00AE4D2D"/>
    <w:rsid w:val="00AF0397"/>
    <w:rsid w:val="00AF058C"/>
    <w:rsid w:val="00AF0E64"/>
    <w:rsid w:val="00AF135E"/>
    <w:rsid w:val="00AF1BB9"/>
    <w:rsid w:val="00AF35C5"/>
    <w:rsid w:val="00AF76D8"/>
    <w:rsid w:val="00AF7A56"/>
    <w:rsid w:val="00B001CE"/>
    <w:rsid w:val="00B00AF1"/>
    <w:rsid w:val="00B00D4B"/>
    <w:rsid w:val="00B00F9B"/>
    <w:rsid w:val="00B01082"/>
    <w:rsid w:val="00B01124"/>
    <w:rsid w:val="00B02415"/>
    <w:rsid w:val="00B0298C"/>
    <w:rsid w:val="00B02C70"/>
    <w:rsid w:val="00B034ED"/>
    <w:rsid w:val="00B056C8"/>
    <w:rsid w:val="00B05764"/>
    <w:rsid w:val="00B07DAF"/>
    <w:rsid w:val="00B106FE"/>
    <w:rsid w:val="00B111A0"/>
    <w:rsid w:val="00B1240E"/>
    <w:rsid w:val="00B129A4"/>
    <w:rsid w:val="00B1471D"/>
    <w:rsid w:val="00B14F70"/>
    <w:rsid w:val="00B15C94"/>
    <w:rsid w:val="00B16203"/>
    <w:rsid w:val="00B163E4"/>
    <w:rsid w:val="00B166F2"/>
    <w:rsid w:val="00B1727C"/>
    <w:rsid w:val="00B177A2"/>
    <w:rsid w:val="00B20E18"/>
    <w:rsid w:val="00B20F89"/>
    <w:rsid w:val="00B21C4C"/>
    <w:rsid w:val="00B222B9"/>
    <w:rsid w:val="00B22BB3"/>
    <w:rsid w:val="00B240CD"/>
    <w:rsid w:val="00B30E14"/>
    <w:rsid w:val="00B31ED1"/>
    <w:rsid w:val="00B32FC0"/>
    <w:rsid w:val="00B35099"/>
    <w:rsid w:val="00B3769F"/>
    <w:rsid w:val="00B37A9B"/>
    <w:rsid w:val="00B403A6"/>
    <w:rsid w:val="00B41CFD"/>
    <w:rsid w:val="00B4245B"/>
    <w:rsid w:val="00B42D55"/>
    <w:rsid w:val="00B44771"/>
    <w:rsid w:val="00B46F2F"/>
    <w:rsid w:val="00B47337"/>
    <w:rsid w:val="00B50030"/>
    <w:rsid w:val="00B51458"/>
    <w:rsid w:val="00B523BF"/>
    <w:rsid w:val="00B5527C"/>
    <w:rsid w:val="00B57780"/>
    <w:rsid w:val="00B57DA1"/>
    <w:rsid w:val="00B60A90"/>
    <w:rsid w:val="00B62C50"/>
    <w:rsid w:val="00B646D9"/>
    <w:rsid w:val="00B6497A"/>
    <w:rsid w:val="00B664B0"/>
    <w:rsid w:val="00B66DED"/>
    <w:rsid w:val="00B7014F"/>
    <w:rsid w:val="00B72E0D"/>
    <w:rsid w:val="00B75768"/>
    <w:rsid w:val="00B76315"/>
    <w:rsid w:val="00B76A64"/>
    <w:rsid w:val="00B81B6C"/>
    <w:rsid w:val="00B83662"/>
    <w:rsid w:val="00B84B76"/>
    <w:rsid w:val="00B86A6E"/>
    <w:rsid w:val="00B901D4"/>
    <w:rsid w:val="00B9051F"/>
    <w:rsid w:val="00B9089E"/>
    <w:rsid w:val="00B9113E"/>
    <w:rsid w:val="00B91158"/>
    <w:rsid w:val="00B92938"/>
    <w:rsid w:val="00B9324C"/>
    <w:rsid w:val="00B9350A"/>
    <w:rsid w:val="00B944CA"/>
    <w:rsid w:val="00B94AEC"/>
    <w:rsid w:val="00B95339"/>
    <w:rsid w:val="00B95694"/>
    <w:rsid w:val="00B95F46"/>
    <w:rsid w:val="00BA0032"/>
    <w:rsid w:val="00BA1B4B"/>
    <w:rsid w:val="00BA1F9A"/>
    <w:rsid w:val="00BA2401"/>
    <w:rsid w:val="00BA369F"/>
    <w:rsid w:val="00BA4FAB"/>
    <w:rsid w:val="00BA51DE"/>
    <w:rsid w:val="00BA7F0E"/>
    <w:rsid w:val="00BB1200"/>
    <w:rsid w:val="00BB28FB"/>
    <w:rsid w:val="00BB2CCF"/>
    <w:rsid w:val="00BB31D2"/>
    <w:rsid w:val="00BB3839"/>
    <w:rsid w:val="00BB4365"/>
    <w:rsid w:val="00BB453B"/>
    <w:rsid w:val="00BB4F46"/>
    <w:rsid w:val="00BB5240"/>
    <w:rsid w:val="00BB655E"/>
    <w:rsid w:val="00BB6845"/>
    <w:rsid w:val="00BC235C"/>
    <w:rsid w:val="00BC2A74"/>
    <w:rsid w:val="00BC2EE3"/>
    <w:rsid w:val="00BC30C1"/>
    <w:rsid w:val="00BC392B"/>
    <w:rsid w:val="00BC4B6B"/>
    <w:rsid w:val="00BC4D79"/>
    <w:rsid w:val="00BC6C6F"/>
    <w:rsid w:val="00BC73F7"/>
    <w:rsid w:val="00BC7CCD"/>
    <w:rsid w:val="00BD12D0"/>
    <w:rsid w:val="00BD1D85"/>
    <w:rsid w:val="00BD200A"/>
    <w:rsid w:val="00BD2768"/>
    <w:rsid w:val="00BD4BDE"/>
    <w:rsid w:val="00BD5242"/>
    <w:rsid w:val="00BD57B9"/>
    <w:rsid w:val="00BD65CA"/>
    <w:rsid w:val="00BD6E6E"/>
    <w:rsid w:val="00BD7355"/>
    <w:rsid w:val="00BE08B0"/>
    <w:rsid w:val="00BE0F94"/>
    <w:rsid w:val="00BE3868"/>
    <w:rsid w:val="00BE39BB"/>
    <w:rsid w:val="00BE40B5"/>
    <w:rsid w:val="00BE44F0"/>
    <w:rsid w:val="00BE4E4E"/>
    <w:rsid w:val="00BE6A04"/>
    <w:rsid w:val="00BE6D28"/>
    <w:rsid w:val="00BE72C4"/>
    <w:rsid w:val="00BE7451"/>
    <w:rsid w:val="00BE7507"/>
    <w:rsid w:val="00BF02E5"/>
    <w:rsid w:val="00BF15D3"/>
    <w:rsid w:val="00BF4710"/>
    <w:rsid w:val="00BF485C"/>
    <w:rsid w:val="00BF6841"/>
    <w:rsid w:val="00BF6C9A"/>
    <w:rsid w:val="00C00F17"/>
    <w:rsid w:val="00C02C7C"/>
    <w:rsid w:val="00C03559"/>
    <w:rsid w:val="00C067B9"/>
    <w:rsid w:val="00C06F34"/>
    <w:rsid w:val="00C10E2F"/>
    <w:rsid w:val="00C110F0"/>
    <w:rsid w:val="00C120F9"/>
    <w:rsid w:val="00C131F5"/>
    <w:rsid w:val="00C13DF4"/>
    <w:rsid w:val="00C15DE8"/>
    <w:rsid w:val="00C165AD"/>
    <w:rsid w:val="00C16D44"/>
    <w:rsid w:val="00C2145B"/>
    <w:rsid w:val="00C21888"/>
    <w:rsid w:val="00C21B2A"/>
    <w:rsid w:val="00C244D7"/>
    <w:rsid w:val="00C2545A"/>
    <w:rsid w:val="00C25CCA"/>
    <w:rsid w:val="00C266F5"/>
    <w:rsid w:val="00C27527"/>
    <w:rsid w:val="00C3078A"/>
    <w:rsid w:val="00C310A1"/>
    <w:rsid w:val="00C310F3"/>
    <w:rsid w:val="00C31B5A"/>
    <w:rsid w:val="00C324ED"/>
    <w:rsid w:val="00C32AC9"/>
    <w:rsid w:val="00C32DBF"/>
    <w:rsid w:val="00C331B1"/>
    <w:rsid w:val="00C3366F"/>
    <w:rsid w:val="00C3456B"/>
    <w:rsid w:val="00C3767F"/>
    <w:rsid w:val="00C37B3B"/>
    <w:rsid w:val="00C4133E"/>
    <w:rsid w:val="00C44E79"/>
    <w:rsid w:val="00C47085"/>
    <w:rsid w:val="00C508C5"/>
    <w:rsid w:val="00C50D2F"/>
    <w:rsid w:val="00C50D8C"/>
    <w:rsid w:val="00C51EAE"/>
    <w:rsid w:val="00C5218E"/>
    <w:rsid w:val="00C54ED3"/>
    <w:rsid w:val="00C55287"/>
    <w:rsid w:val="00C57EC1"/>
    <w:rsid w:val="00C60CFD"/>
    <w:rsid w:val="00C6192F"/>
    <w:rsid w:val="00C62727"/>
    <w:rsid w:val="00C63A02"/>
    <w:rsid w:val="00C66B3A"/>
    <w:rsid w:val="00C66EA1"/>
    <w:rsid w:val="00C70FD7"/>
    <w:rsid w:val="00C720EA"/>
    <w:rsid w:val="00C7321C"/>
    <w:rsid w:val="00C7406C"/>
    <w:rsid w:val="00C75E94"/>
    <w:rsid w:val="00C76506"/>
    <w:rsid w:val="00C76744"/>
    <w:rsid w:val="00C7680A"/>
    <w:rsid w:val="00C76AC3"/>
    <w:rsid w:val="00C77267"/>
    <w:rsid w:val="00C80B30"/>
    <w:rsid w:val="00C80C1E"/>
    <w:rsid w:val="00C829BA"/>
    <w:rsid w:val="00C8381E"/>
    <w:rsid w:val="00C842B0"/>
    <w:rsid w:val="00C85DD3"/>
    <w:rsid w:val="00C869DB"/>
    <w:rsid w:val="00C90CFE"/>
    <w:rsid w:val="00C910B9"/>
    <w:rsid w:val="00C91C63"/>
    <w:rsid w:val="00CA204E"/>
    <w:rsid w:val="00CA2D91"/>
    <w:rsid w:val="00CA3041"/>
    <w:rsid w:val="00CA30A8"/>
    <w:rsid w:val="00CA32A6"/>
    <w:rsid w:val="00CA385F"/>
    <w:rsid w:val="00CA3B4B"/>
    <w:rsid w:val="00CA4531"/>
    <w:rsid w:val="00CA4B39"/>
    <w:rsid w:val="00CA4C06"/>
    <w:rsid w:val="00CA4CAC"/>
    <w:rsid w:val="00CA60C7"/>
    <w:rsid w:val="00CA7E52"/>
    <w:rsid w:val="00CB03BA"/>
    <w:rsid w:val="00CB119C"/>
    <w:rsid w:val="00CB131D"/>
    <w:rsid w:val="00CB1C08"/>
    <w:rsid w:val="00CB272D"/>
    <w:rsid w:val="00CB41C7"/>
    <w:rsid w:val="00CB4AF1"/>
    <w:rsid w:val="00CB5C08"/>
    <w:rsid w:val="00CB6178"/>
    <w:rsid w:val="00CB75DE"/>
    <w:rsid w:val="00CB7B14"/>
    <w:rsid w:val="00CB7D54"/>
    <w:rsid w:val="00CC0845"/>
    <w:rsid w:val="00CC11B0"/>
    <w:rsid w:val="00CC22A6"/>
    <w:rsid w:val="00CC25B7"/>
    <w:rsid w:val="00CC280D"/>
    <w:rsid w:val="00CC377C"/>
    <w:rsid w:val="00CC467B"/>
    <w:rsid w:val="00CD000B"/>
    <w:rsid w:val="00CD0106"/>
    <w:rsid w:val="00CD1951"/>
    <w:rsid w:val="00CD1EF6"/>
    <w:rsid w:val="00CD2184"/>
    <w:rsid w:val="00CD23CA"/>
    <w:rsid w:val="00CD3797"/>
    <w:rsid w:val="00CD5A6A"/>
    <w:rsid w:val="00CD6645"/>
    <w:rsid w:val="00CD6788"/>
    <w:rsid w:val="00CD6B5B"/>
    <w:rsid w:val="00CD6CD1"/>
    <w:rsid w:val="00CE00E5"/>
    <w:rsid w:val="00CE0C8E"/>
    <w:rsid w:val="00CE2070"/>
    <w:rsid w:val="00CE289D"/>
    <w:rsid w:val="00CE3F8E"/>
    <w:rsid w:val="00CE4570"/>
    <w:rsid w:val="00CE48F4"/>
    <w:rsid w:val="00CE533F"/>
    <w:rsid w:val="00CF0BE4"/>
    <w:rsid w:val="00CF3613"/>
    <w:rsid w:val="00CF3B2B"/>
    <w:rsid w:val="00CF3E2B"/>
    <w:rsid w:val="00CF6B86"/>
    <w:rsid w:val="00CF6D88"/>
    <w:rsid w:val="00D05236"/>
    <w:rsid w:val="00D057A2"/>
    <w:rsid w:val="00D05A17"/>
    <w:rsid w:val="00D05AE3"/>
    <w:rsid w:val="00D05DED"/>
    <w:rsid w:val="00D06A25"/>
    <w:rsid w:val="00D06DD9"/>
    <w:rsid w:val="00D07154"/>
    <w:rsid w:val="00D0780F"/>
    <w:rsid w:val="00D1084A"/>
    <w:rsid w:val="00D113F6"/>
    <w:rsid w:val="00D13240"/>
    <w:rsid w:val="00D13368"/>
    <w:rsid w:val="00D1422F"/>
    <w:rsid w:val="00D14950"/>
    <w:rsid w:val="00D14B95"/>
    <w:rsid w:val="00D14D16"/>
    <w:rsid w:val="00D1503C"/>
    <w:rsid w:val="00D153F4"/>
    <w:rsid w:val="00D15B9D"/>
    <w:rsid w:val="00D1648D"/>
    <w:rsid w:val="00D17F31"/>
    <w:rsid w:val="00D21303"/>
    <w:rsid w:val="00D259F2"/>
    <w:rsid w:val="00D2706F"/>
    <w:rsid w:val="00D27376"/>
    <w:rsid w:val="00D27BAF"/>
    <w:rsid w:val="00D30840"/>
    <w:rsid w:val="00D3204F"/>
    <w:rsid w:val="00D34951"/>
    <w:rsid w:val="00D35E7F"/>
    <w:rsid w:val="00D37A29"/>
    <w:rsid w:val="00D400DA"/>
    <w:rsid w:val="00D40AF4"/>
    <w:rsid w:val="00D415B6"/>
    <w:rsid w:val="00D42828"/>
    <w:rsid w:val="00D429E4"/>
    <w:rsid w:val="00D42CD3"/>
    <w:rsid w:val="00D434BB"/>
    <w:rsid w:val="00D44C8E"/>
    <w:rsid w:val="00D47338"/>
    <w:rsid w:val="00D51E81"/>
    <w:rsid w:val="00D526E2"/>
    <w:rsid w:val="00D54FC5"/>
    <w:rsid w:val="00D5558C"/>
    <w:rsid w:val="00D558F5"/>
    <w:rsid w:val="00D571E4"/>
    <w:rsid w:val="00D606AB"/>
    <w:rsid w:val="00D616C1"/>
    <w:rsid w:val="00D636A2"/>
    <w:rsid w:val="00D66FD9"/>
    <w:rsid w:val="00D671E7"/>
    <w:rsid w:val="00D6723F"/>
    <w:rsid w:val="00D70DA9"/>
    <w:rsid w:val="00D72D50"/>
    <w:rsid w:val="00D72DAE"/>
    <w:rsid w:val="00D75605"/>
    <w:rsid w:val="00D75F75"/>
    <w:rsid w:val="00D76313"/>
    <w:rsid w:val="00D76488"/>
    <w:rsid w:val="00D77950"/>
    <w:rsid w:val="00D82031"/>
    <w:rsid w:val="00D82425"/>
    <w:rsid w:val="00D857C1"/>
    <w:rsid w:val="00D8616A"/>
    <w:rsid w:val="00D86729"/>
    <w:rsid w:val="00D87213"/>
    <w:rsid w:val="00D87C1E"/>
    <w:rsid w:val="00D944E4"/>
    <w:rsid w:val="00D9721C"/>
    <w:rsid w:val="00D9794E"/>
    <w:rsid w:val="00DA05CF"/>
    <w:rsid w:val="00DA060A"/>
    <w:rsid w:val="00DA0B7C"/>
    <w:rsid w:val="00DA310D"/>
    <w:rsid w:val="00DA366E"/>
    <w:rsid w:val="00DA4235"/>
    <w:rsid w:val="00DA499B"/>
    <w:rsid w:val="00DA5130"/>
    <w:rsid w:val="00DA54C2"/>
    <w:rsid w:val="00DA6896"/>
    <w:rsid w:val="00DB0BB1"/>
    <w:rsid w:val="00DB2846"/>
    <w:rsid w:val="00DB2F67"/>
    <w:rsid w:val="00DB3BC7"/>
    <w:rsid w:val="00DB4A9E"/>
    <w:rsid w:val="00DB5436"/>
    <w:rsid w:val="00DB59F7"/>
    <w:rsid w:val="00DB65A7"/>
    <w:rsid w:val="00DB6D4B"/>
    <w:rsid w:val="00DC05FD"/>
    <w:rsid w:val="00DC126C"/>
    <w:rsid w:val="00DC1C67"/>
    <w:rsid w:val="00DC2884"/>
    <w:rsid w:val="00DC2D2E"/>
    <w:rsid w:val="00DC4322"/>
    <w:rsid w:val="00DC47B3"/>
    <w:rsid w:val="00DC4B72"/>
    <w:rsid w:val="00DC4BB1"/>
    <w:rsid w:val="00DC50E5"/>
    <w:rsid w:val="00DC691C"/>
    <w:rsid w:val="00DC704C"/>
    <w:rsid w:val="00DD168F"/>
    <w:rsid w:val="00DD4171"/>
    <w:rsid w:val="00DD44D5"/>
    <w:rsid w:val="00DD5E94"/>
    <w:rsid w:val="00DD7D14"/>
    <w:rsid w:val="00DE21A1"/>
    <w:rsid w:val="00DE49FB"/>
    <w:rsid w:val="00DE5D55"/>
    <w:rsid w:val="00DE5EEF"/>
    <w:rsid w:val="00DE6231"/>
    <w:rsid w:val="00DF00E5"/>
    <w:rsid w:val="00DF02EF"/>
    <w:rsid w:val="00DF06EB"/>
    <w:rsid w:val="00DF3C45"/>
    <w:rsid w:val="00DF3D15"/>
    <w:rsid w:val="00DF449B"/>
    <w:rsid w:val="00DF7CA2"/>
    <w:rsid w:val="00DF7D33"/>
    <w:rsid w:val="00E00A72"/>
    <w:rsid w:val="00E01734"/>
    <w:rsid w:val="00E0272B"/>
    <w:rsid w:val="00E029E0"/>
    <w:rsid w:val="00E0339B"/>
    <w:rsid w:val="00E04B57"/>
    <w:rsid w:val="00E04D04"/>
    <w:rsid w:val="00E05536"/>
    <w:rsid w:val="00E05CF2"/>
    <w:rsid w:val="00E064DE"/>
    <w:rsid w:val="00E06985"/>
    <w:rsid w:val="00E06F3C"/>
    <w:rsid w:val="00E07DC3"/>
    <w:rsid w:val="00E103BE"/>
    <w:rsid w:val="00E10CE5"/>
    <w:rsid w:val="00E1269C"/>
    <w:rsid w:val="00E155A7"/>
    <w:rsid w:val="00E15831"/>
    <w:rsid w:val="00E158FA"/>
    <w:rsid w:val="00E16F35"/>
    <w:rsid w:val="00E17334"/>
    <w:rsid w:val="00E21442"/>
    <w:rsid w:val="00E22097"/>
    <w:rsid w:val="00E22680"/>
    <w:rsid w:val="00E2492C"/>
    <w:rsid w:val="00E25A8A"/>
    <w:rsid w:val="00E260B4"/>
    <w:rsid w:val="00E30B00"/>
    <w:rsid w:val="00E30BA5"/>
    <w:rsid w:val="00E31B76"/>
    <w:rsid w:val="00E31C19"/>
    <w:rsid w:val="00E3209B"/>
    <w:rsid w:val="00E36D2B"/>
    <w:rsid w:val="00E37302"/>
    <w:rsid w:val="00E401C7"/>
    <w:rsid w:val="00E40E6A"/>
    <w:rsid w:val="00E4112A"/>
    <w:rsid w:val="00E4263C"/>
    <w:rsid w:val="00E42F4A"/>
    <w:rsid w:val="00E44343"/>
    <w:rsid w:val="00E44FDB"/>
    <w:rsid w:val="00E4559D"/>
    <w:rsid w:val="00E456E7"/>
    <w:rsid w:val="00E461E3"/>
    <w:rsid w:val="00E5438F"/>
    <w:rsid w:val="00E545D5"/>
    <w:rsid w:val="00E56681"/>
    <w:rsid w:val="00E57089"/>
    <w:rsid w:val="00E5742D"/>
    <w:rsid w:val="00E5784E"/>
    <w:rsid w:val="00E57C6D"/>
    <w:rsid w:val="00E6029D"/>
    <w:rsid w:val="00E61303"/>
    <w:rsid w:val="00E614DE"/>
    <w:rsid w:val="00E636BB"/>
    <w:rsid w:val="00E63AC9"/>
    <w:rsid w:val="00E64616"/>
    <w:rsid w:val="00E64881"/>
    <w:rsid w:val="00E653F2"/>
    <w:rsid w:val="00E6590F"/>
    <w:rsid w:val="00E66BD9"/>
    <w:rsid w:val="00E66D25"/>
    <w:rsid w:val="00E71973"/>
    <w:rsid w:val="00E73019"/>
    <w:rsid w:val="00E74026"/>
    <w:rsid w:val="00E74069"/>
    <w:rsid w:val="00E741AA"/>
    <w:rsid w:val="00E767D7"/>
    <w:rsid w:val="00E76D3E"/>
    <w:rsid w:val="00E76EA7"/>
    <w:rsid w:val="00E76F99"/>
    <w:rsid w:val="00E80B11"/>
    <w:rsid w:val="00E817F1"/>
    <w:rsid w:val="00E8198C"/>
    <w:rsid w:val="00E82529"/>
    <w:rsid w:val="00E84284"/>
    <w:rsid w:val="00E8475C"/>
    <w:rsid w:val="00E84AB5"/>
    <w:rsid w:val="00E84C08"/>
    <w:rsid w:val="00E85599"/>
    <w:rsid w:val="00E87415"/>
    <w:rsid w:val="00E87FED"/>
    <w:rsid w:val="00E91E61"/>
    <w:rsid w:val="00E92ADB"/>
    <w:rsid w:val="00E939C3"/>
    <w:rsid w:val="00E9522F"/>
    <w:rsid w:val="00E965E7"/>
    <w:rsid w:val="00EA03A3"/>
    <w:rsid w:val="00EA0C5E"/>
    <w:rsid w:val="00EA17E9"/>
    <w:rsid w:val="00EA19B8"/>
    <w:rsid w:val="00EA1BC3"/>
    <w:rsid w:val="00EA229F"/>
    <w:rsid w:val="00EA575E"/>
    <w:rsid w:val="00EA6320"/>
    <w:rsid w:val="00EA6E0A"/>
    <w:rsid w:val="00EA7506"/>
    <w:rsid w:val="00EB07C0"/>
    <w:rsid w:val="00EB1636"/>
    <w:rsid w:val="00EB3D62"/>
    <w:rsid w:val="00EB4394"/>
    <w:rsid w:val="00EB4844"/>
    <w:rsid w:val="00EB7792"/>
    <w:rsid w:val="00EC1288"/>
    <w:rsid w:val="00EC2DB4"/>
    <w:rsid w:val="00EC3109"/>
    <w:rsid w:val="00EC3B11"/>
    <w:rsid w:val="00EC40E0"/>
    <w:rsid w:val="00EC4182"/>
    <w:rsid w:val="00EC4287"/>
    <w:rsid w:val="00ED1BEA"/>
    <w:rsid w:val="00ED2ED2"/>
    <w:rsid w:val="00ED36D2"/>
    <w:rsid w:val="00ED3B4A"/>
    <w:rsid w:val="00ED60B2"/>
    <w:rsid w:val="00ED63EF"/>
    <w:rsid w:val="00ED6EEB"/>
    <w:rsid w:val="00EE1C3D"/>
    <w:rsid w:val="00EE238C"/>
    <w:rsid w:val="00EE301F"/>
    <w:rsid w:val="00EE4143"/>
    <w:rsid w:val="00EF092F"/>
    <w:rsid w:val="00EF11BB"/>
    <w:rsid w:val="00EF2AB8"/>
    <w:rsid w:val="00EF5C98"/>
    <w:rsid w:val="00EF62F0"/>
    <w:rsid w:val="00EF680E"/>
    <w:rsid w:val="00F019C6"/>
    <w:rsid w:val="00F01E6B"/>
    <w:rsid w:val="00F025CE"/>
    <w:rsid w:val="00F034A2"/>
    <w:rsid w:val="00F04831"/>
    <w:rsid w:val="00F04BA3"/>
    <w:rsid w:val="00F05CA5"/>
    <w:rsid w:val="00F06557"/>
    <w:rsid w:val="00F066AA"/>
    <w:rsid w:val="00F1067C"/>
    <w:rsid w:val="00F11A4D"/>
    <w:rsid w:val="00F11DED"/>
    <w:rsid w:val="00F12EA7"/>
    <w:rsid w:val="00F13A6C"/>
    <w:rsid w:val="00F14A08"/>
    <w:rsid w:val="00F1516D"/>
    <w:rsid w:val="00F166FE"/>
    <w:rsid w:val="00F16F15"/>
    <w:rsid w:val="00F174B9"/>
    <w:rsid w:val="00F178BF"/>
    <w:rsid w:val="00F21875"/>
    <w:rsid w:val="00F22148"/>
    <w:rsid w:val="00F266D2"/>
    <w:rsid w:val="00F279CA"/>
    <w:rsid w:val="00F310CF"/>
    <w:rsid w:val="00F316D9"/>
    <w:rsid w:val="00F31975"/>
    <w:rsid w:val="00F319BC"/>
    <w:rsid w:val="00F31BE0"/>
    <w:rsid w:val="00F33B65"/>
    <w:rsid w:val="00F348A5"/>
    <w:rsid w:val="00F35A5F"/>
    <w:rsid w:val="00F36870"/>
    <w:rsid w:val="00F42C2C"/>
    <w:rsid w:val="00F42ED9"/>
    <w:rsid w:val="00F459EE"/>
    <w:rsid w:val="00F45E13"/>
    <w:rsid w:val="00F46A73"/>
    <w:rsid w:val="00F47487"/>
    <w:rsid w:val="00F475CB"/>
    <w:rsid w:val="00F50B68"/>
    <w:rsid w:val="00F51C36"/>
    <w:rsid w:val="00F52409"/>
    <w:rsid w:val="00F52856"/>
    <w:rsid w:val="00F528AE"/>
    <w:rsid w:val="00F537BD"/>
    <w:rsid w:val="00F53875"/>
    <w:rsid w:val="00F53A1C"/>
    <w:rsid w:val="00F540A8"/>
    <w:rsid w:val="00F543DA"/>
    <w:rsid w:val="00F5466B"/>
    <w:rsid w:val="00F54E67"/>
    <w:rsid w:val="00F56A46"/>
    <w:rsid w:val="00F57A91"/>
    <w:rsid w:val="00F57D94"/>
    <w:rsid w:val="00F601B5"/>
    <w:rsid w:val="00F601D8"/>
    <w:rsid w:val="00F61360"/>
    <w:rsid w:val="00F61507"/>
    <w:rsid w:val="00F61B22"/>
    <w:rsid w:val="00F6622A"/>
    <w:rsid w:val="00F669B6"/>
    <w:rsid w:val="00F6746D"/>
    <w:rsid w:val="00F70395"/>
    <w:rsid w:val="00F70F0A"/>
    <w:rsid w:val="00F71671"/>
    <w:rsid w:val="00F7236C"/>
    <w:rsid w:val="00F725AF"/>
    <w:rsid w:val="00F72BC1"/>
    <w:rsid w:val="00F73655"/>
    <w:rsid w:val="00F7371F"/>
    <w:rsid w:val="00F74320"/>
    <w:rsid w:val="00F75986"/>
    <w:rsid w:val="00F76236"/>
    <w:rsid w:val="00F80F1C"/>
    <w:rsid w:val="00F82488"/>
    <w:rsid w:val="00F83ED1"/>
    <w:rsid w:val="00F84470"/>
    <w:rsid w:val="00F8482D"/>
    <w:rsid w:val="00F87168"/>
    <w:rsid w:val="00F8740C"/>
    <w:rsid w:val="00F8765C"/>
    <w:rsid w:val="00F87776"/>
    <w:rsid w:val="00F879C1"/>
    <w:rsid w:val="00F87F77"/>
    <w:rsid w:val="00F92D26"/>
    <w:rsid w:val="00F94ED3"/>
    <w:rsid w:val="00F95120"/>
    <w:rsid w:val="00F96F1C"/>
    <w:rsid w:val="00F96F59"/>
    <w:rsid w:val="00FA2E9A"/>
    <w:rsid w:val="00FA4318"/>
    <w:rsid w:val="00FA6312"/>
    <w:rsid w:val="00FA7833"/>
    <w:rsid w:val="00FB15E3"/>
    <w:rsid w:val="00FB1D3D"/>
    <w:rsid w:val="00FB2934"/>
    <w:rsid w:val="00FB36E3"/>
    <w:rsid w:val="00FB41DF"/>
    <w:rsid w:val="00FB43F3"/>
    <w:rsid w:val="00FB60F1"/>
    <w:rsid w:val="00FB7425"/>
    <w:rsid w:val="00FB7880"/>
    <w:rsid w:val="00FB7999"/>
    <w:rsid w:val="00FC189F"/>
    <w:rsid w:val="00FC26B6"/>
    <w:rsid w:val="00FC327C"/>
    <w:rsid w:val="00FC3537"/>
    <w:rsid w:val="00FC66F4"/>
    <w:rsid w:val="00FD09CB"/>
    <w:rsid w:val="00FD1142"/>
    <w:rsid w:val="00FD1359"/>
    <w:rsid w:val="00FD178C"/>
    <w:rsid w:val="00FD2059"/>
    <w:rsid w:val="00FD3F7F"/>
    <w:rsid w:val="00FD6C02"/>
    <w:rsid w:val="00FD7E9D"/>
    <w:rsid w:val="00FE2594"/>
    <w:rsid w:val="00FE4136"/>
    <w:rsid w:val="00FE4AC3"/>
    <w:rsid w:val="00FE4EA0"/>
    <w:rsid w:val="00FE59DA"/>
    <w:rsid w:val="00FE5C4D"/>
    <w:rsid w:val="00FE619A"/>
    <w:rsid w:val="00FE6324"/>
    <w:rsid w:val="00FE6B8F"/>
    <w:rsid w:val="00FF0596"/>
    <w:rsid w:val="00FF104C"/>
    <w:rsid w:val="00FF37B3"/>
    <w:rsid w:val="00FF3EC2"/>
    <w:rsid w:val="00FF4E8D"/>
    <w:rsid w:val="00FF5B3D"/>
    <w:rsid w:val="00FF5BD4"/>
    <w:rsid w:val="00FF707F"/>
    <w:rsid w:val="00FF78BD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FC9A26-5929-47D1-AF62-00083CC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A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CE6"/>
    <w:pPr>
      <w:keepNext/>
      <w:keepLines/>
      <w:numPr>
        <w:numId w:val="2"/>
      </w:numPr>
      <w:spacing w:after="0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CE6"/>
    <w:pPr>
      <w:keepNext/>
      <w:keepLines/>
      <w:numPr>
        <w:ilvl w:val="1"/>
        <w:numId w:val="2"/>
      </w:numPr>
      <w:spacing w:before="12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93CE6"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D3797"/>
    <w:pPr>
      <w:numPr>
        <w:ilvl w:val="3"/>
      </w:num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7D1BEC"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022806"/>
    <w:pPr>
      <w:numPr>
        <w:ilvl w:val="5"/>
      </w:num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CE6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93CE6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93CE6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3797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7D1BEC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022806"/>
    <w:rPr>
      <w:rFonts w:ascii="Calibri" w:eastAsiaTheme="majorEastAsia" w:hAnsi="Calibri" w:cstheme="majorBidi"/>
      <w:b/>
      <w:bCs/>
      <w:sz w:val="28"/>
      <w:szCs w:val="26"/>
    </w:rPr>
  </w:style>
  <w:style w:type="table" w:styleId="Tabela-Siatka">
    <w:name w:val="Table Grid"/>
    <w:basedOn w:val="Standardowy"/>
    <w:uiPriority w:val="39"/>
    <w:rsid w:val="0066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60801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01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EC4182"/>
    <w:pPr>
      <w:tabs>
        <w:tab w:val="right" w:leader="dot" w:pos="9062"/>
      </w:tabs>
      <w:spacing w:after="100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E54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F99"/>
  </w:style>
  <w:style w:type="paragraph" w:styleId="Stopka">
    <w:name w:val="footer"/>
    <w:basedOn w:val="Normalny"/>
    <w:link w:val="StopkaZnak"/>
    <w:uiPriority w:val="99"/>
    <w:unhideWhenUsed/>
    <w:rsid w:val="00E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F99"/>
  </w:style>
  <w:style w:type="paragraph" w:styleId="Bezodstpw">
    <w:name w:val="No Spacing"/>
    <w:uiPriority w:val="1"/>
    <w:qFormat/>
    <w:rsid w:val="00617B4C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6B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6F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EC4182"/>
    <w:pPr>
      <w:tabs>
        <w:tab w:val="right" w:leader="dot" w:pos="9062"/>
      </w:tabs>
      <w:spacing w:after="100"/>
      <w:ind w:left="240"/>
    </w:pPr>
    <w:rPr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4B1768"/>
    <w:pPr>
      <w:tabs>
        <w:tab w:val="left" w:pos="1320"/>
        <w:tab w:val="right" w:leader="dot" w:pos="9062"/>
      </w:tabs>
      <w:spacing w:after="100" w:line="240" w:lineRule="auto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B1727C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FC26B6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DA060A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unhideWhenUsed/>
    <w:rsid w:val="00A04019"/>
    <w:pPr>
      <w:spacing w:after="100"/>
      <w:ind w:left="1320"/>
      <w:jc w:val="left"/>
    </w:pPr>
    <w:rPr>
      <w:rFonts w:eastAsiaTheme="minorEastAsia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4019"/>
    <w:pPr>
      <w:spacing w:after="100"/>
      <w:ind w:left="1540"/>
      <w:jc w:val="left"/>
    </w:pPr>
    <w:rPr>
      <w:rFonts w:eastAsiaTheme="minorEastAsia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4019"/>
    <w:pPr>
      <w:spacing w:after="100"/>
      <w:ind w:left="1760"/>
      <w:jc w:val="left"/>
    </w:pPr>
    <w:rPr>
      <w:rFonts w:eastAsiaTheme="minorEastAsia"/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260B4"/>
    <w:pPr>
      <w:spacing w:after="0" w:line="240" w:lineRule="auto"/>
      <w:jc w:val="center"/>
    </w:pPr>
    <w:rPr>
      <w:rFonts w:eastAsia="Times New Roman" w:cs="Times New Roman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260B4"/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7BA7"/>
    <w:rPr>
      <w:rFonts w:ascii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5B021F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021F"/>
    <w:pPr>
      <w:widowControl w:val="0"/>
      <w:shd w:val="clear" w:color="auto" w:fill="FFFFFF"/>
      <w:spacing w:after="0" w:line="475" w:lineRule="exact"/>
      <w:ind w:hanging="900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Teksttreci4">
    <w:name w:val="Tekst treści (4)"/>
    <w:basedOn w:val="Domylnaczcionkaakapitu"/>
    <w:rsid w:val="005B02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411ptBezkursywy">
    <w:name w:val="Tekst treści (4) + 11 pt;Bez kursywy"/>
    <w:basedOn w:val="Teksttreci40"/>
    <w:rsid w:val="005B02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115ptKursywa">
    <w:name w:val="Tekst treści (2) + 11;5 pt;Kursywa"/>
    <w:basedOn w:val="Teksttreci2"/>
    <w:rsid w:val="005B02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eksttreci40">
    <w:name w:val="Tekst treści (4)_"/>
    <w:basedOn w:val="Domylnaczcionkaakapitu"/>
    <w:rsid w:val="005B021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PogrubienieTeksttreci26pt">
    <w:name w:val="Pogrubienie;Tekst treści (2) + 6 pt"/>
    <w:basedOn w:val="Teksttreci2"/>
    <w:rsid w:val="009A67D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character" w:customStyle="1" w:styleId="PogrubienieTeksttreci245pt">
    <w:name w:val="Pogrubienie;Tekst treści (2) + 4;5 pt"/>
    <w:basedOn w:val="Teksttreci2"/>
    <w:rsid w:val="009A67D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Teksttreci26pt">
    <w:name w:val="Tekst treści (2) + 6 pt"/>
    <w:basedOn w:val="Teksttreci2"/>
    <w:rsid w:val="009A67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493048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49304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DF02E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8EAD-2264-4514-B533-11722AB9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5454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Jacukowicz</dc:creator>
  <cp:lastModifiedBy>Magdalena Oborska</cp:lastModifiedBy>
  <cp:revision>2</cp:revision>
  <cp:lastPrinted>2022-07-18T05:06:00Z</cp:lastPrinted>
  <dcterms:created xsi:type="dcterms:W3CDTF">2022-09-22T08:26:00Z</dcterms:created>
  <dcterms:modified xsi:type="dcterms:W3CDTF">2022-09-22T08:26:00Z</dcterms:modified>
</cp:coreProperties>
</file>